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2B71A" w14:textId="77777777" w:rsidR="00F5516B" w:rsidRPr="003A7FDD" w:rsidRDefault="00F5516B" w:rsidP="00F5516B">
      <w:pPr>
        <w:pStyle w:val="Title"/>
        <w:rPr>
          <w:bCs w:val="0"/>
          <w:sz w:val="32"/>
        </w:rPr>
      </w:pPr>
      <w:r w:rsidRPr="003A7FDD">
        <w:rPr>
          <w:bCs w:val="0"/>
          <w:sz w:val="32"/>
        </w:rPr>
        <w:t>Chancellor announces new Job Support Scheme</w:t>
      </w:r>
    </w:p>
    <w:p w14:paraId="74674273" w14:textId="77777777" w:rsidR="00F5516B" w:rsidRPr="003A7FDD" w:rsidRDefault="00F5516B" w:rsidP="00F5516B">
      <w:pPr>
        <w:pStyle w:val="IntroductionTitle"/>
        <w:spacing w:before="600"/>
        <w:jc w:val="both"/>
        <w:rPr>
          <w:sz w:val="22"/>
          <w:lang w:val="en-US"/>
        </w:rPr>
      </w:pPr>
      <w:bookmarkStart w:id="0" w:name="_Hlk25600892"/>
      <w:r w:rsidRPr="003A7FDD">
        <w:rPr>
          <w:sz w:val="22"/>
        </w:rPr>
        <w:t>On 24 September, the Chancellor announced a further package of support for workers and businesses to manage the impact of Coronavirus. The support includes a new Job Support Scheme which will start on 1 November after the Job Retention Scheme closes on the 31 October. The Treasury has released the following factsheet which explains more about the JSS, who can claim it and what can be claimed.</w:t>
      </w:r>
    </w:p>
    <w:p w14:paraId="386D2618" w14:textId="77777777" w:rsidR="00037C84" w:rsidRPr="003A7FDD" w:rsidRDefault="00F5516B" w:rsidP="00037C84">
      <w:pPr>
        <w:pStyle w:val="IntroductionParagraph"/>
        <w:numPr>
          <w:ilvl w:val="0"/>
          <w:numId w:val="4"/>
        </w:numPr>
        <w:rPr>
          <w:sz w:val="20"/>
        </w:rPr>
      </w:pPr>
      <w:r w:rsidRPr="003A7FDD">
        <w:rPr>
          <w:sz w:val="20"/>
        </w:rPr>
        <w:t>What is it?</w:t>
      </w:r>
    </w:p>
    <w:p w14:paraId="4E5B4B59" w14:textId="77777777" w:rsidR="00037C84" w:rsidRPr="003A7FDD" w:rsidRDefault="00F5516B" w:rsidP="00037C84">
      <w:pPr>
        <w:pStyle w:val="IntroductionParagraph"/>
        <w:numPr>
          <w:ilvl w:val="0"/>
          <w:numId w:val="4"/>
        </w:numPr>
        <w:rPr>
          <w:sz w:val="20"/>
        </w:rPr>
      </w:pPr>
      <w:r w:rsidRPr="003A7FDD">
        <w:rPr>
          <w:sz w:val="20"/>
        </w:rPr>
        <w:t>Who is eligible?</w:t>
      </w:r>
    </w:p>
    <w:p w14:paraId="1F666D00" w14:textId="77777777" w:rsidR="00037C84" w:rsidRPr="003A7FDD" w:rsidRDefault="00F5516B" w:rsidP="00037C84">
      <w:pPr>
        <w:pStyle w:val="IntroductionParagraph"/>
        <w:numPr>
          <w:ilvl w:val="0"/>
          <w:numId w:val="4"/>
        </w:numPr>
        <w:rPr>
          <w:sz w:val="20"/>
        </w:rPr>
      </w:pPr>
      <w:r w:rsidRPr="003A7FDD">
        <w:rPr>
          <w:sz w:val="20"/>
        </w:rPr>
        <w:t>What does the grant cover?</w:t>
      </w:r>
    </w:p>
    <w:p w14:paraId="37706068" w14:textId="77777777" w:rsidR="00037C84" w:rsidRPr="003A7FDD" w:rsidRDefault="00F5516B" w:rsidP="00037C84">
      <w:pPr>
        <w:pStyle w:val="IntroductionParagraph"/>
        <w:numPr>
          <w:ilvl w:val="0"/>
          <w:numId w:val="4"/>
        </w:numPr>
        <w:rPr>
          <w:sz w:val="20"/>
        </w:rPr>
      </w:pPr>
      <w:r w:rsidRPr="003A7FDD">
        <w:rPr>
          <w:sz w:val="20"/>
        </w:rPr>
        <w:t xml:space="preserve">What does it mean to be on reduced hours? </w:t>
      </w:r>
    </w:p>
    <w:p w14:paraId="6D2F5397" w14:textId="77777777" w:rsidR="00037C84" w:rsidRPr="003A7FDD" w:rsidRDefault="00F5516B" w:rsidP="00037C84">
      <w:pPr>
        <w:pStyle w:val="IntroductionParagraph"/>
        <w:numPr>
          <w:ilvl w:val="0"/>
          <w:numId w:val="4"/>
        </w:numPr>
        <w:rPr>
          <w:sz w:val="20"/>
        </w:rPr>
      </w:pPr>
      <w:r w:rsidRPr="003A7FDD">
        <w:rPr>
          <w:sz w:val="20"/>
        </w:rPr>
        <w:t>How can I claim?</w:t>
      </w:r>
    </w:p>
    <w:p w14:paraId="4BA6B194" w14:textId="77777777" w:rsidR="00F5516B" w:rsidRPr="003A7FDD" w:rsidRDefault="00F5516B" w:rsidP="00037C84">
      <w:pPr>
        <w:pStyle w:val="IntroductionParagraph"/>
        <w:numPr>
          <w:ilvl w:val="0"/>
          <w:numId w:val="4"/>
        </w:numPr>
        <w:rPr>
          <w:sz w:val="20"/>
        </w:rPr>
      </w:pPr>
      <w:r w:rsidRPr="003A7FDD">
        <w:rPr>
          <w:sz w:val="20"/>
        </w:rPr>
        <w:t>HMRC checks</w:t>
      </w:r>
    </w:p>
    <w:p w14:paraId="54F75FFE" w14:textId="77777777" w:rsidR="00037C84" w:rsidRPr="003A7FDD" w:rsidRDefault="00F5516B" w:rsidP="00F5516B">
      <w:pPr>
        <w:pStyle w:val="IntroductionParagraph"/>
        <w:numPr>
          <w:ilvl w:val="0"/>
          <w:numId w:val="4"/>
        </w:numPr>
        <w:rPr>
          <w:sz w:val="20"/>
        </w:rPr>
      </w:pPr>
      <w:r w:rsidRPr="003A7FDD">
        <w:rPr>
          <w:sz w:val="20"/>
        </w:rPr>
        <w:t>Examples</w:t>
      </w:r>
      <w:bookmarkEnd w:id="0"/>
    </w:p>
    <w:p w14:paraId="312A7C53" w14:textId="77777777" w:rsidR="00F5516B" w:rsidRPr="00F94C00" w:rsidRDefault="00F5516B" w:rsidP="00F5516B">
      <w:pPr>
        <w:pStyle w:val="IntroductionParagraph"/>
        <w:ind w:left="0"/>
        <w:rPr>
          <w:color w:val="0D133D"/>
          <w:sz w:val="20"/>
        </w:rPr>
      </w:pPr>
      <w:r w:rsidRPr="00F94C00">
        <w:rPr>
          <w:color w:val="0D133D"/>
          <w:sz w:val="20"/>
        </w:rPr>
        <w:t xml:space="preserve">The Job Support Scheme factsheet wording is copied out below. </w:t>
      </w:r>
    </w:p>
    <w:p w14:paraId="45F048F4" w14:textId="77777777" w:rsidR="00F5516B" w:rsidRPr="003A7FDD" w:rsidRDefault="00F5516B" w:rsidP="00F5516B">
      <w:pPr>
        <w:pStyle w:val="Heading1"/>
        <w:rPr>
          <w:color w:val="36BEAE"/>
          <w:sz w:val="28"/>
          <w:szCs w:val="28"/>
        </w:rPr>
      </w:pPr>
      <w:r w:rsidRPr="003A7FDD">
        <w:rPr>
          <w:color w:val="36BEAE"/>
          <w:sz w:val="28"/>
          <w:szCs w:val="28"/>
        </w:rPr>
        <w:t>What is it?</w:t>
      </w:r>
    </w:p>
    <w:p w14:paraId="2E2B9973" w14:textId="77777777" w:rsidR="00F5516B" w:rsidRPr="003A7FDD" w:rsidRDefault="00F5516B" w:rsidP="00F94C00">
      <w:pPr>
        <w:pStyle w:val="BodyText"/>
        <w:jc w:val="both"/>
        <w:rPr>
          <w:color w:val="0D133D"/>
          <w:sz w:val="22"/>
          <w:szCs w:val="22"/>
          <w:lang w:val="en-US"/>
        </w:rPr>
      </w:pPr>
      <w:r w:rsidRPr="003A7FDD">
        <w:rPr>
          <w:color w:val="0D133D"/>
          <w:sz w:val="22"/>
          <w:szCs w:val="22"/>
          <w:lang w:val="en-US"/>
        </w:rPr>
        <w:t>The Job Support Scheme is designed to protect viable jobs in businesses who are facing lower demand over the winter months due to Covid-19, to help keep their employees attached to the workforce. The company will continue to pay its employee for time worked, but the burden of hours not worked will be split between the employer and the Government (through wage support) and the employee (through a wage reduction), and the employee will keep their job.</w:t>
      </w:r>
    </w:p>
    <w:p w14:paraId="59AA9E54" w14:textId="77777777" w:rsidR="00F94C00" w:rsidRPr="003A7FDD" w:rsidRDefault="00F94C00" w:rsidP="00F94C00">
      <w:pPr>
        <w:pStyle w:val="BodyText"/>
        <w:jc w:val="both"/>
        <w:rPr>
          <w:color w:val="0D133D"/>
          <w:sz w:val="22"/>
          <w:szCs w:val="22"/>
          <w:lang w:val="en-US"/>
        </w:rPr>
      </w:pPr>
    </w:p>
    <w:p w14:paraId="0188D649" w14:textId="77777777" w:rsidR="00F5516B" w:rsidRPr="003A7FDD" w:rsidRDefault="00F5516B" w:rsidP="00F94C00">
      <w:pPr>
        <w:pStyle w:val="BodyText"/>
        <w:jc w:val="both"/>
        <w:rPr>
          <w:color w:val="0D133D"/>
          <w:sz w:val="22"/>
          <w:szCs w:val="22"/>
          <w:lang w:val="en-US"/>
        </w:rPr>
      </w:pPr>
      <w:r w:rsidRPr="003A7FDD">
        <w:rPr>
          <w:color w:val="0D133D"/>
          <w:sz w:val="22"/>
          <w:szCs w:val="22"/>
          <w:lang w:val="en-US"/>
        </w:rPr>
        <w:t>Now the economy is opening up, we should target support on those businesses that need it most: focusing on those that are being impacted by Coronavirus and who</w:t>
      </w:r>
      <w:r w:rsidR="00F94C00" w:rsidRPr="003A7FDD">
        <w:rPr>
          <w:color w:val="0D133D"/>
          <w:sz w:val="22"/>
          <w:szCs w:val="22"/>
          <w:lang w:val="en-US"/>
        </w:rPr>
        <w:t xml:space="preserve"> </w:t>
      </w:r>
      <w:r w:rsidRPr="003A7FDD">
        <w:rPr>
          <w:color w:val="0D133D"/>
          <w:sz w:val="22"/>
          <w:szCs w:val="22"/>
          <w:lang w:val="en-US"/>
        </w:rPr>
        <w:t>can support their employees doing some work, but that need more time for</w:t>
      </w:r>
      <w:r w:rsidR="00F94C00" w:rsidRPr="003A7FDD">
        <w:rPr>
          <w:color w:val="0D133D"/>
          <w:sz w:val="22"/>
          <w:szCs w:val="22"/>
          <w:lang w:val="en-US"/>
        </w:rPr>
        <w:t xml:space="preserve"> </w:t>
      </w:r>
      <w:r w:rsidRPr="003A7FDD">
        <w:rPr>
          <w:color w:val="0D133D"/>
          <w:sz w:val="22"/>
          <w:szCs w:val="22"/>
          <w:lang w:val="en-US"/>
        </w:rPr>
        <w:t>demand to recover.</w:t>
      </w:r>
    </w:p>
    <w:p w14:paraId="799152DB" w14:textId="77777777" w:rsidR="00F94C00" w:rsidRPr="003A7FDD" w:rsidRDefault="00F94C00" w:rsidP="00F94C00">
      <w:pPr>
        <w:pStyle w:val="BodyText"/>
        <w:jc w:val="both"/>
        <w:rPr>
          <w:color w:val="0D133D"/>
          <w:sz w:val="22"/>
          <w:szCs w:val="22"/>
          <w:lang w:val="en-US"/>
        </w:rPr>
      </w:pPr>
    </w:p>
    <w:p w14:paraId="57249F6F" w14:textId="77777777" w:rsidR="00F5516B" w:rsidRPr="003A7FDD" w:rsidRDefault="00F5516B" w:rsidP="00F94C00">
      <w:pPr>
        <w:pStyle w:val="BodyText"/>
        <w:jc w:val="both"/>
        <w:rPr>
          <w:color w:val="0D133D"/>
          <w:sz w:val="22"/>
          <w:szCs w:val="22"/>
          <w:lang w:val="en-US"/>
        </w:rPr>
      </w:pPr>
      <w:r w:rsidRPr="003A7FDD">
        <w:rPr>
          <w:color w:val="0D133D"/>
          <w:sz w:val="22"/>
          <w:szCs w:val="22"/>
          <w:lang w:val="en-US"/>
        </w:rPr>
        <w:t>The Government will pay a third of hours not worked up to a cap, with the</w:t>
      </w:r>
      <w:r w:rsidR="00F94C00" w:rsidRPr="003A7FDD">
        <w:rPr>
          <w:color w:val="0D133D"/>
          <w:sz w:val="22"/>
          <w:szCs w:val="22"/>
          <w:lang w:val="en-US"/>
        </w:rPr>
        <w:t xml:space="preserve"> </w:t>
      </w:r>
      <w:r w:rsidRPr="003A7FDD">
        <w:rPr>
          <w:color w:val="0D133D"/>
          <w:sz w:val="22"/>
          <w:szCs w:val="22"/>
          <w:lang w:val="en-US"/>
        </w:rPr>
        <w:t>employer also contributing a third. This will ensure employees earn a minimum of</w:t>
      </w:r>
      <w:r w:rsidR="00F94C00" w:rsidRPr="003A7FDD">
        <w:rPr>
          <w:color w:val="0D133D"/>
          <w:sz w:val="22"/>
          <w:szCs w:val="22"/>
          <w:lang w:val="en-US"/>
        </w:rPr>
        <w:t xml:space="preserve"> </w:t>
      </w:r>
      <w:r w:rsidRPr="003A7FDD">
        <w:rPr>
          <w:color w:val="0D133D"/>
          <w:sz w:val="22"/>
          <w:szCs w:val="22"/>
          <w:lang w:val="en-US"/>
        </w:rPr>
        <w:t>77% of their normal wages, where the Government contribution has not been</w:t>
      </w:r>
      <w:r w:rsidR="00F94C00" w:rsidRPr="003A7FDD">
        <w:rPr>
          <w:color w:val="0D133D"/>
          <w:sz w:val="22"/>
          <w:szCs w:val="22"/>
          <w:lang w:val="en-US"/>
        </w:rPr>
        <w:t xml:space="preserve"> </w:t>
      </w:r>
      <w:r w:rsidRPr="003A7FDD">
        <w:rPr>
          <w:color w:val="0D133D"/>
          <w:sz w:val="22"/>
          <w:szCs w:val="22"/>
          <w:lang w:val="en-US"/>
        </w:rPr>
        <w:t>capped.</w:t>
      </w:r>
    </w:p>
    <w:p w14:paraId="33053EB7" w14:textId="77777777" w:rsidR="00F94C00" w:rsidRPr="003A7FDD" w:rsidRDefault="00F94C00" w:rsidP="00F94C00">
      <w:pPr>
        <w:pStyle w:val="BodyText"/>
        <w:jc w:val="both"/>
        <w:rPr>
          <w:color w:val="0D133D"/>
          <w:sz w:val="22"/>
          <w:szCs w:val="22"/>
          <w:lang w:val="en-US"/>
        </w:rPr>
      </w:pPr>
    </w:p>
    <w:p w14:paraId="6B43C0B4" w14:textId="77777777" w:rsidR="00F5516B" w:rsidRPr="003A7FDD" w:rsidRDefault="00F5516B" w:rsidP="00F94C00">
      <w:pPr>
        <w:pStyle w:val="BodyText"/>
        <w:jc w:val="both"/>
        <w:rPr>
          <w:color w:val="0D133D"/>
          <w:sz w:val="22"/>
          <w:szCs w:val="22"/>
          <w:lang w:val="en-US"/>
        </w:rPr>
      </w:pPr>
      <w:r w:rsidRPr="003A7FDD">
        <w:rPr>
          <w:color w:val="0D133D"/>
          <w:sz w:val="22"/>
          <w:szCs w:val="22"/>
          <w:lang w:val="en-US"/>
        </w:rPr>
        <w:t>Employers using the Job Support Scheme will also be able to claim the Job</w:t>
      </w:r>
      <w:r w:rsidR="00F94C00" w:rsidRPr="003A7FDD">
        <w:rPr>
          <w:color w:val="0D133D"/>
          <w:sz w:val="22"/>
          <w:szCs w:val="22"/>
          <w:lang w:val="en-US"/>
        </w:rPr>
        <w:t xml:space="preserve"> </w:t>
      </w:r>
      <w:r w:rsidRPr="003A7FDD">
        <w:rPr>
          <w:color w:val="0D133D"/>
          <w:sz w:val="22"/>
          <w:szCs w:val="22"/>
          <w:lang w:val="en-US"/>
        </w:rPr>
        <w:t>Retention Bonus if they meet the eligibility criteria.</w:t>
      </w:r>
    </w:p>
    <w:p w14:paraId="2144AB82" w14:textId="77777777" w:rsidR="00F94C00" w:rsidRPr="003A7FDD" w:rsidRDefault="00F94C00" w:rsidP="00F94C00">
      <w:pPr>
        <w:pStyle w:val="BodyText"/>
        <w:jc w:val="both"/>
        <w:rPr>
          <w:color w:val="0D133D"/>
          <w:sz w:val="22"/>
          <w:szCs w:val="22"/>
          <w:lang w:val="en-US"/>
        </w:rPr>
      </w:pPr>
    </w:p>
    <w:p w14:paraId="62746647" w14:textId="77777777" w:rsidR="00F5516B" w:rsidRPr="003A7FDD" w:rsidRDefault="00F5516B" w:rsidP="00F94C00">
      <w:pPr>
        <w:pStyle w:val="BodyText"/>
        <w:jc w:val="both"/>
        <w:rPr>
          <w:color w:val="0D133D"/>
          <w:sz w:val="22"/>
          <w:szCs w:val="22"/>
          <w:lang w:val="en-US"/>
        </w:rPr>
      </w:pPr>
      <w:r w:rsidRPr="003A7FDD">
        <w:rPr>
          <w:color w:val="0D133D"/>
          <w:sz w:val="22"/>
          <w:szCs w:val="22"/>
          <w:lang w:val="en-US"/>
        </w:rPr>
        <w:t>The scheme will open on 1 November 2020 and run for 6 months, until April 2021.</w:t>
      </w:r>
      <w:r w:rsidR="00F94C00" w:rsidRPr="003A7FDD">
        <w:rPr>
          <w:color w:val="0D133D"/>
          <w:sz w:val="22"/>
          <w:szCs w:val="22"/>
          <w:lang w:val="en-US"/>
        </w:rPr>
        <w:t xml:space="preserve"> </w:t>
      </w:r>
      <w:r w:rsidRPr="003A7FDD">
        <w:rPr>
          <w:color w:val="0D133D"/>
          <w:sz w:val="22"/>
          <w:szCs w:val="22"/>
          <w:lang w:val="en-US"/>
        </w:rPr>
        <w:t>Further guidance will be published shortly.</w:t>
      </w:r>
    </w:p>
    <w:p w14:paraId="268499A5" w14:textId="77777777" w:rsidR="00F94C00" w:rsidRPr="003A7FDD" w:rsidRDefault="00F94C00" w:rsidP="00F94C00">
      <w:pPr>
        <w:pStyle w:val="Heading1"/>
        <w:rPr>
          <w:color w:val="36BEAE"/>
          <w:sz w:val="28"/>
          <w:szCs w:val="22"/>
          <w:lang w:val="en-US"/>
        </w:rPr>
      </w:pPr>
      <w:r w:rsidRPr="003A7FDD">
        <w:rPr>
          <w:color w:val="36BEAE"/>
          <w:sz w:val="28"/>
          <w:szCs w:val="22"/>
          <w:lang w:val="en-US"/>
        </w:rPr>
        <w:lastRenderedPageBreak/>
        <w:t>Who is eligible?</w:t>
      </w:r>
    </w:p>
    <w:p w14:paraId="48071F57" w14:textId="77777777" w:rsidR="00F94C00" w:rsidRPr="003A7FDD" w:rsidRDefault="00F94C00" w:rsidP="00F94C00">
      <w:pPr>
        <w:pStyle w:val="Heading3"/>
      </w:pPr>
      <w:r w:rsidRPr="003A7FDD">
        <w:rPr>
          <w:sz w:val="24"/>
        </w:rPr>
        <w:t xml:space="preserve">Employers </w:t>
      </w:r>
    </w:p>
    <w:p w14:paraId="544A229F" w14:textId="77777777" w:rsidR="00F94C00" w:rsidRPr="003A7FDD" w:rsidRDefault="00F94C00" w:rsidP="00F94C00">
      <w:pPr>
        <w:pStyle w:val="BodyText"/>
        <w:rPr>
          <w:sz w:val="22"/>
          <w:szCs w:val="22"/>
        </w:rPr>
      </w:pPr>
    </w:p>
    <w:p w14:paraId="3B1F1BAF" w14:textId="77777777" w:rsidR="00F94C00" w:rsidRPr="003A7FDD" w:rsidRDefault="00F94C00" w:rsidP="00F94C00">
      <w:pPr>
        <w:pStyle w:val="BodyText"/>
        <w:numPr>
          <w:ilvl w:val="0"/>
          <w:numId w:val="5"/>
        </w:numPr>
        <w:ind w:left="360"/>
        <w:jc w:val="both"/>
        <w:rPr>
          <w:color w:val="0D133D"/>
          <w:sz w:val="22"/>
          <w:szCs w:val="22"/>
        </w:rPr>
      </w:pPr>
      <w:r w:rsidRPr="003A7FDD">
        <w:rPr>
          <w:color w:val="0D133D"/>
          <w:sz w:val="22"/>
          <w:szCs w:val="22"/>
        </w:rPr>
        <w:t xml:space="preserve">All employers with a UK bank account and UK PAYE schemes can claim the grant. Neither the employer nor the employee needs to have previously used the Coronavirus Job Retention Scheme. </w:t>
      </w:r>
    </w:p>
    <w:p w14:paraId="3375CDF5" w14:textId="77777777" w:rsidR="00F94C00" w:rsidRPr="003A7FDD" w:rsidRDefault="00F94C00" w:rsidP="00F94C00">
      <w:pPr>
        <w:pStyle w:val="BodyText"/>
        <w:jc w:val="both"/>
        <w:rPr>
          <w:color w:val="0D133D"/>
          <w:sz w:val="22"/>
          <w:szCs w:val="22"/>
        </w:rPr>
      </w:pPr>
    </w:p>
    <w:p w14:paraId="496B117C" w14:textId="77777777" w:rsidR="00F94C00" w:rsidRPr="003A7FDD" w:rsidRDefault="00F94C00" w:rsidP="00F94C00">
      <w:pPr>
        <w:pStyle w:val="BodyText"/>
        <w:numPr>
          <w:ilvl w:val="0"/>
          <w:numId w:val="5"/>
        </w:numPr>
        <w:ind w:left="360"/>
        <w:jc w:val="both"/>
        <w:rPr>
          <w:color w:val="0D133D"/>
          <w:sz w:val="22"/>
          <w:szCs w:val="22"/>
        </w:rPr>
      </w:pPr>
      <w:r w:rsidRPr="003A7FDD">
        <w:rPr>
          <w:color w:val="0D133D"/>
          <w:sz w:val="22"/>
          <w:szCs w:val="22"/>
        </w:rPr>
        <w:t xml:space="preserve">Large businesses will have to meet a financial assessment test, so the scheme is only available to those whose turnover is lower now than before experiencing difficulties from Covid-19. There will be no financial assessment test for small and medium enterprises (SMEs). </w:t>
      </w:r>
    </w:p>
    <w:p w14:paraId="2B8AA7F3" w14:textId="77777777" w:rsidR="00F94C00" w:rsidRPr="003A7FDD" w:rsidRDefault="00F94C00" w:rsidP="00F94C00">
      <w:pPr>
        <w:pStyle w:val="BodyText"/>
        <w:jc w:val="both"/>
        <w:rPr>
          <w:color w:val="0D133D"/>
          <w:sz w:val="22"/>
          <w:szCs w:val="22"/>
        </w:rPr>
      </w:pPr>
    </w:p>
    <w:p w14:paraId="0159F052" w14:textId="77777777" w:rsidR="00F94C00" w:rsidRPr="003A7FDD" w:rsidRDefault="00F94C00" w:rsidP="00F94C00">
      <w:pPr>
        <w:pStyle w:val="BodyText"/>
        <w:numPr>
          <w:ilvl w:val="0"/>
          <w:numId w:val="5"/>
        </w:numPr>
        <w:ind w:left="360"/>
        <w:jc w:val="both"/>
        <w:rPr>
          <w:color w:val="0D133D"/>
          <w:sz w:val="22"/>
          <w:szCs w:val="22"/>
        </w:rPr>
      </w:pPr>
      <w:r w:rsidRPr="003A7FDD">
        <w:rPr>
          <w:color w:val="0D133D"/>
          <w:sz w:val="22"/>
          <w:szCs w:val="22"/>
        </w:rPr>
        <w:t>Our expectation is that large employers using the Job Support Scheme will not be making capital distributions, such as dividend payments or share buybacks, whilst accessing the grant. Further details will be set out in guidance.</w:t>
      </w:r>
    </w:p>
    <w:p w14:paraId="72652180" w14:textId="77777777" w:rsidR="00F94C00" w:rsidRPr="003A7FDD" w:rsidRDefault="00F94C00" w:rsidP="00F94C00">
      <w:pPr>
        <w:pStyle w:val="BodyText"/>
        <w:rPr>
          <w:sz w:val="22"/>
          <w:szCs w:val="22"/>
        </w:rPr>
      </w:pPr>
    </w:p>
    <w:p w14:paraId="2CC30FAF" w14:textId="77777777" w:rsidR="00F94C00" w:rsidRPr="003A7FDD" w:rsidRDefault="00F94C00" w:rsidP="00F94C00">
      <w:pPr>
        <w:pStyle w:val="Heading3"/>
        <w:rPr>
          <w:sz w:val="24"/>
        </w:rPr>
      </w:pPr>
      <w:r w:rsidRPr="003A7FDD">
        <w:rPr>
          <w:sz w:val="24"/>
        </w:rPr>
        <w:t>Employees</w:t>
      </w:r>
    </w:p>
    <w:p w14:paraId="523D660B" w14:textId="77777777" w:rsidR="00F94C00" w:rsidRPr="003A7FDD" w:rsidRDefault="00F94C00" w:rsidP="00F94C00">
      <w:pPr>
        <w:pStyle w:val="BodyText"/>
        <w:rPr>
          <w:sz w:val="22"/>
          <w:szCs w:val="22"/>
        </w:rPr>
      </w:pPr>
    </w:p>
    <w:p w14:paraId="18809A0D" w14:textId="77777777" w:rsidR="00F94C00" w:rsidRPr="003A7FDD" w:rsidRDefault="00F94C00" w:rsidP="00F94C00">
      <w:pPr>
        <w:pStyle w:val="BodyText"/>
        <w:numPr>
          <w:ilvl w:val="0"/>
          <w:numId w:val="6"/>
        </w:numPr>
        <w:ind w:left="360"/>
        <w:jc w:val="both"/>
        <w:rPr>
          <w:color w:val="0D133D"/>
          <w:sz w:val="22"/>
          <w:szCs w:val="22"/>
        </w:rPr>
      </w:pPr>
      <w:r w:rsidRPr="003A7FDD">
        <w:rPr>
          <w:color w:val="0D133D"/>
          <w:sz w:val="22"/>
          <w:szCs w:val="22"/>
        </w:rPr>
        <w:t>Employees must be on an employer’s PAYE payroll on or before 23 September 2020. This means a Real Time Information (RTI) submission notifying payment to that employee to HMRC must have been made on or before 23 September 2020.</w:t>
      </w:r>
    </w:p>
    <w:p w14:paraId="18A2A756" w14:textId="77777777" w:rsidR="00F94C00" w:rsidRPr="003A7FDD" w:rsidRDefault="00F94C00" w:rsidP="00F94C00">
      <w:pPr>
        <w:pStyle w:val="BodyText"/>
        <w:jc w:val="both"/>
        <w:rPr>
          <w:color w:val="0D133D"/>
          <w:sz w:val="22"/>
          <w:szCs w:val="22"/>
        </w:rPr>
      </w:pPr>
    </w:p>
    <w:p w14:paraId="32FA5414" w14:textId="77777777" w:rsidR="00F94C00" w:rsidRPr="003A7FDD" w:rsidRDefault="00F94C00" w:rsidP="00F94C00">
      <w:pPr>
        <w:pStyle w:val="BodyText"/>
        <w:numPr>
          <w:ilvl w:val="0"/>
          <w:numId w:val="6"/>
        </w:numPr>
        <w:ind w:left="360"/>
        <w:jc w:val="both"/>
        <w:rPr>
          <w:color w:val="0D133D"/>
          <w:sz w:val="22"/>
          <w:szCs w:val="22"/>
        </w:rPr>
      </w:pPr>
      <w:r w:rsidRPr="003A7FDD">
        <w:rPr>
          <w:color w:val="0D133D"/>
          <w:sz w:val="22"/>
          <w:szCs w:val="22"/>
        </w:rPr>
        <w:t xml:space="preserve">In order to support viable jobs, for the first three months of the scheme the employee must work at least 33% of their usual hours. After 3 months, the Government will consider whether to increase this minimum </w:t>
      </w:r>
      <w:proofErr w:type="gramStart"/>
      <w:r w:rsidRPr="003A7FDD">
        <w:rPr>
          <w:color w:val="0D133D"/>
          <w:sz w:val="22"/>
          <w:szCs w:val="22"/>
        </w:rPr>
        <w:t>hours</w:t>
      </w:r>
      <w:proofErr w:type="gramEnd"/>
      <w:r w:rsidRPr="003A7FDD">
        <w:rPr>
          <w:color w:val="0D133D"/>
          <w:sz w:val="22"/>
          <w:szCs w:val="22"/>
        </w:rPr>
        <w:t xml:space="preserve"> threshold.</w:t>
      </w:r>
    </w:p>
    <w:p w14:paraId="487841D5" w14:textId="77777777" w:rsidR="00F94C00" w:rsidRPr="003A7FDD" w:rsidRDefault="00F94C00" w:rsidP="00F94C00">
      <w:pPr>
        <w:pStyle w:val="BodyText"/>
        <w:jc w:val="both"/>
        <w:rPr>
          <w:color w:val="0D133D"/>
          <w:sz w:val="22"/>
          <w:szCs w:val="22"/>
        </w:rPr>
      </w:pPr>
    </w:p>
    <w:p w14:paraId="4882558E" w14:textId="77777777" w:rsidR="00F94C00" w:rsidRPr="003A7FDD" w:rsidRDefault="00F94C00" w:rsidP="00F94C00">
      <w:pPr>
        <w:pStyle w:val="BodyText"/>
        <w:numPr>
          <w:ilvl w:val="0"/>
          <w:numId w:val="6"/>
        </w:numPr>
        <w:ind w:left="360"/>
        <w:jc w:val="both"/>
        <w:rPr>
          <w:color w:val="0D133D"/>
          <w:sz w:val="22"/>
          <w:szCs w:val="22"/>
          <w:lang w:val="en-US"/>
        </w:rPr>
      </w:pPr>
      <w:r w:rsidRPr="003A7FDD">
        <w:rPr>
          <w:color w:val="0D133D"/>
          <w:sz w:val="22"/>
          <w:szCs w:val="22"/>
        </w:rPr>
        <w:t>Employees will be able to cycle on and off the scheme and do not have to be working the same pattern each month, but each short-time working arrangement must cover a minimum period of seven days.</w:t>
      </w:r>
    </w:p>
    <w:p w14:paraId="4B1905DF" w14:textId="77777777" w:rsidR="00F94C00" w:rsidRPr="003A7FDD" w:rsidRDefault="00F94C00" w:rsidP="00F94C00">
      <w:pPr>
        <w:pStyle w:val="Heading1"/>
        <w:rPr>
          <w:color w:val="36BEAE"/>
          <w:sz w:val="28"/>
          <w:szCs w:val="22"/>
          <w:lang w:val="en-US"/>
        </w:rPr>
      </w:pPr>
      <w:r w:rsidRPr="003A7FDD">
        <w:rPr>
          <w:color w:val="36BEAE"/>
          <w:sz w:val="28"/>
          <w:szCs w:val="22"/>
          <w:lang w:val="en-US"/>
        </w:rPr>
        <w:t xml:space="preserve">What does the grant cover? </w:t>
      </w:r>
    </w:p>
    <w:p w14:paraId="1A031B53" w14:textId="77777777" w:rsidR="00F94C00" w:rsidRPr="003A7FDD" w:rsidRDefault="00F94C00" w:rsidP="00F94C00">
      <w:pPr>
        <w:pStyle w:val="BodyText"/>
        <w:numPr>
          <w:ilvl w:val="0"/>
          <w:numId w:val="7"/>
        </w:numPr>
        <w:ind w:left="360"/>
        <w:jc w:val="both"/>
        <w:rPr>
          <w:color w:val="0D133D"/>
          <w:sz w:val="22"/>
          <w:szCs w:val="22"/>
        </w:rPr>
      </w:pPr>
      <w:r w:rsidRPr="003A7FDD">
        <w:rPr>
          <w:color w:val="0D133D"/>
          <w:sz w:val="22"/>
          <w:szCs w:val="22"/>
        </w:rPr>
        <w:t xml:space="preserve">For every hour not worked by the employee, both the Government and employer will pay a third each of the usual hourly wage for that employee. The Government contribution will be capped at £697.92 a month. </w:t>
      </w:r>
    </w:p>
    <w:p w14:paraId="043BF46E" w14:textId="77777777" w:rsidR="00F94C00" w:rsidRPr="003A7FDD" w:rsidRDefault="00F94C00" w:rsidP="00F94C00">
      <w:pPr>
        <w:pStyle w:val="BodyText"/>
        <w:jc w:val="both"/>
        <w:rPr>
          <w:color w:val="0D133D"/>
          <w:sz w:val="22"/>
          <w:szCs w:val="22"/>
        </w:rPr>
      </w:pPr>
    </w:p>
    <w:p w14:paraId="0B1CD90F" w14:textId="77777777" w:rsidR="00F94C00" w:rsidRPr="003A7FDD" w:rsidRDefault="00F94C00" w:rsidP="00F94C00">
      <w:pPr>
        <w:pStyle w:val="BodyText"/>
        <w:numPr>
          <w:ilvl w:val="0"/>
          <w:numId w:val="7"/>
        </w:numPr>
        <w:ind w:left="360"/>
        <w:jc w:val="both"/>
        <w:rPr>
          <w:color w:val="0D133D"/>
          <w:sz w:val="22"/>
          <w:szCs w:val="22"/>
        </w:rPr>
      </w:pPr>
      <w:r w:rsidRPr="003A7FDD">
        <w:rPr>
          <w:color w:val="0D133D"/>
          <w:sz w:val="22"/>
          <w:szCs w:val="22"/>
        </w:rPr>
        <w:t xml:space="preserve">Grant payments will be made in arrears, reimbursing the employer for the Government’s contribution. The grant will not cover Class 1 employer NICs or pension contributions, although these contributions will remain payable by the employer. </w:t>
      </w:r>
    </w:p>
    <w:p w14:paraId="6CBFD7A8" w14:textId="77777777" w:rsidR="00F94C00" w:rsidRPr="003A7FDD" w:rsidRDefault="00F94C00" w:rsidP="00F94C00">
      <w:pPr>
        <w:pStyle w:val="BodyText"/>
        <w:jc w:val="both"/>
        <w:rPr>
          <w:color w:val="0D133D"/>
          <w:sz w:val="22"/>
          <w:szCs w:val="22"/>
        </w:rPr>
      </w:pPr>
    </w:p>
    <w:p w14:paraId="16C1459D" w14:textId="77777777" w:rsidR="00F94C00" w:rsidRPr="003A7FDD" w:rsidRDefault="00F94C00" w:rsidP="00F94C00">
      <w:pPr>
        <w:pStyle w:val="BodyText"/>
        <w:numPr>
          <w:ilvl w:val="0"/>
          <w:numId w:val="7"/>
        </w:numPr>
        <w:ind w:left="360"/>
        <w:jc w:val="both"/>
        <w:rPr>
          <w:color w:val="0D133D"/>
          <w:sz w:val="22"/>
          <w:szCs w:val="22"/>
        </w:rPr>
      </w:pPr>
      <w:r w:rsidRPr="003A7FDD">
        <w:rPr>
          <w:color w:val="0D133D"/>
          <w:sz w:val="22"/>
          <w:szCs w:val="22"/>
        </w:rPr>
        <w:t xml:space="preserve">“Usual wages” calculations will follow a similar methodology as for the Coronavirus Job Retention Scheme. Full details will be set out in guidance shortly. Employees who have previously been furloughed, will have their underlying usual pay and/or hours used to calculate usual wages, not the amount they were paid whilst on furlough. </w:t>
      </w:r>
    </w:p>
    <w:p w14:paraId="0F985C00" w14:textId="77777777" w:rsidR="00F94C00" w:rsidRPr="003A7FDD" w:rsidRDefault="00F94C00" w:rsidP="00F94C00">
      <w:pPr>
        <w:pStyle w:val="BodyText"/>
        <w:jc w:val="both"/>
        <w:rPr>
          <w:color w:val="0D133D"/>
          <w:sz w:val="22"/>
          <w:szCs w:val="22"/>
        </w:rPr>
      </w:pPr>
    </w:p>
    <w:p w14:paraId="630E15CF" w14:textId="77777777" w:rsidR="00F94C00" w:rsidRPr="003A7FDD" w:rsidRDefault="00F94C00" w:rsidP="00F94C00">
      <w:pPr>
        <w:pStyle w:val="BodyText"/>
        <w:numPr>
          <w:ilvl w:val="0"/>
          <w:numId w:val="7"/>
        </w:numPr>
        <w:ind w:left="360"/>
        <w:jc w:val="both"/>
        <w:rPr>
          <w:color w:val="0D133D"/>
          <w:sz w:val="22"/>
          <w:szCs w:val="22"/>
          <w:lang w:val="en-US"/>
        </w:rPr>
      </w:pPr>
      <w:r w:rsidRPr="003A7FDD">
        <w:rPr>
          <w:color w:val="0D133D"/>
          <w:sz w:val="22"/>
          <w:szCs w:val="22"/>
        </w:rPr>
        <w:lastRenderedPageBreak/>
        <w:t>Employers must pay employees their contracted wages for hours worked, and the Government and employer contributions for hours not worked. Our expectation is that employers cannot top up their employees’ wages above the two-thirds contribution to hours not worked at their own expense.</w:t>
      </w:r>
    </w:p>
    <w:p w14:paraId="2E678DAD" w14:textId="77777777" w:rsidR="00F94C00" w:rsidRPr="003A7FDD" w:rsidRDefault="00F94C00" w:rsidP="00F94C00">
      <w:pPr>
        <w:pStyle w:val="BodyText"/>
        <w:ind w:left="360"/>
        <w:jc w:val="both"/>
        <w:rPr>
          <w:color w:val="0D133D"/>
          <w:sz w:val="22"/>
          <w:szCs w:val="22"/>
          <w:lang w:val="en-US"/>
        </w:rPr>
      </w:pPr>
    </w:p>
    <w:p w14:paraId="55B2F9C4" w14:textId="77777777" w:rsidR="00F94C00" w:rsidRPr="003A7FDD" w:rsidRDefault="00F94C00" w:rsidP="00F94C00">
      <w:pPr>
        <w:pStyle w:val="Heading1"/>
        <w:rPr>
          <w:color w:val="36BEAE"/>
          <w:sz w:val="28"/>
          <w:szCs w:val="22"/>
          <w:lang w:val="en-US"/>
        </w:rPr>
      </w:pPr>
      <w:r w:rsidRPr="003A7FDD">
        <w:rPr>
          <w:color w:val="36BEAE"/>
          <w:sz w:val="28"/>
          <w:szCs w:val="22"/>
          <w:lang w:val="en-US"/>
        </w:rPr>
        <w:t xml:space="preserve">What does it mean to be on reduced hours? </w:t>
      </w:r>
    </w:p>
    <w:p w14:paraId="4E24BED3" w14:textId="77777777" w:rsidR="00F94C00" w:rsidRPr="003A7FDD" w:rsidRDefault="00F94C00" w:rsidP="00F94C00">
      <w:pPr>
        <w:pStyle w:val="BodyText"/>
        <w:rPr>
          <w:sz w:val="22"/>
          <w:szCs w:val="22"/>
          <w:lang w:val="en-US"/>
        </w:rPr>
      </w:pPr>
    </w:p>
    <w:p w14:paraId="72B990B2" w14:textId="77777777" w:rsidR="00F94C00" w:rsidRPr="003A7FDD" w:rsidRDefault="00F94C00" w:rsidP="00F94C00">
      <w:pPr>
        <w:pStyle w:val="BodyText"/>
        <w:numPr>
          <w:ilvl w:val="0"/>
          <w:numId w:val="8"/>
        </w:numPr>
        <w:ind w:left="360"/>
        <w:jc w:val="both"/>
        <w:rPr>
          <w:color w:val="0D133D"/>
          <w:sz w:val="22"/>
          <w:szCs w:val="22"/>
        </w:rPr>
      </w:pPr>
      <w:r w:rsidRPr="003A7FDD">
        <w:rPr>
          <w:color w:val="0D133D"/>
          <w:sz w:val="22"/>
          <w:szCs w:val="22"/>
        </w:rPr>
        <w:t xml:space="preserve">The employee must be working at least 33% of their usual hours. </w:t>
      </w:r>
    </w:p>
    <w:p w14:paraId="53F0FA05" w14:textId="77777777" w:rsidR="00F94C00" w:rsidRPr="003A7FDD" w:rsidRDefault="00F94C00" w:rsidP="00F94C00">
      <w:pPr>
        <w:pStyle w:val="BodyText"/>
        <w:jc w:val="both"/>
        <w:rPr>
          <w:color w:val="0D133D"/>
          <w:sz w:val="22"/>
          <w:szCs w:val="22"/>
        </w:rPr>
      </w:pPr>
    </w:p>
    <w:p w14:paraId="5EB4674F" w14:textId="77777777" w:rsidR="00F94C00" w:rsidRPr="003A7FDD" w:rsidRDefault="00F94C00" w:rsidP="00F94C00">
      <w:pPr>
        <w:pStyle w:val="BodyText"/>
        <w:numPr>
          <w:ilvl w:val="0"/>
          <w:numId w:val="8"/>
        </w:numPr>
        <w:ind w:left="360"/>
        <w:jc w:val="both"/>
        <w:rPr>
          <w:color w:val="0D133D"/>
          <w:sz w:val="22"/>
          <w:szCs w:val="22"/>
        </w:rPr>
      </w:pPr>
      <w:r w:rsidRPr="003A7FDD">
        <w:rPr>
          <w:color w:val="0D133D"/>
          <w:sz w:val="22"/>
          <w:szCs w:val="22"/>
        </w:rPr>
        <w:t xml:space="preserve">For the time worked, employees must be paid their normal contracted wage. </w:t>
      </w:r>
    </w:p>
    <w:p w14:paraId="49EC2534" w14:textId="77777777" w:rsidR="00F94C00" w:rsidRPr="003A7FDD" w:rsidRDefault="00F94C00" w:rsidP="00F94C00">
      <w:pPr>
        <w:pStyle w:val="BodyText"/>
        <w:jc w:val="both"/>
        <w:rPr>
          <w:color w:val="0D133D"/>
          <w:sz w:val="22"/>
          <w:szCs w:val="22"/>
        </w:rPr>
      </w:pPr>
    </w:p>
    <w:p w14:paraId="035C1E20" w14:textId="77777777" w:rsidR="00F94C00" w:rsidRPr="003A7FDD" w:rsidRDefault="00F94C00" w:rsidP="00F94C00">
      <w:pPr>
        <w:pStyle w:val="BodyText"/>
        <w:numPr>
          <w:ilvl w:val="0"/>
          <w:numId w:val="8"/>
        </w:numPr>
        <w:ind w:left="360"/>
        <w:jc w:val="both"/>
        <w:rPr>
          <w:color w:val="0D133D"/>
          <w:sz w:val="22"/>
          <w:szCs w:val="22"/>
        </w:rPr>
      </w:pPr>
      <w:r w:rsidRPr="003A7FDD">
        <w:rPr>
          <w:color w:val="0D133D"/>
          <w:sz w:val="22"/>
          <w:szCs w:val="22"/>
        </w:rPr>
        <w:t xml:space="preserve">For time not worked, the employee will be paid up to two-thirds of their usual wage. </w:t>
      </w:r>
    </w:p>
    <w:p w14:paraId="7FFC6A1E" w14:textId="77777777" w:rsidR="00F94C00" w:rsidRPr="003A7FDD" w:rsidRDefault="00F94C00" w:rsidP="00F94C00">
      <w:pPr>
        <w:pStyle w:val="BodyText"/>
        <w:jc w:val="both"/>
        <w:rPr>
          <w:color w:val="0D133D"/>
          <w:sz w:val="22"/>
          <w:szCs w:val="22"/>
        </w:rPr>
      </w:pPr>
    </w:p>
    <w:p w14:paraId="117FFF75" w14:textId="77777777" w:rsidR="00F94C00" w:rsidRPr="003A7FDD" w:rsidRDefault="00F94C00" w:rsidP="00F94C00">
      <w:pPr>
        <w:pStyle w:val="BodyText"/>
        <w:numPr>
          <w:ilvl w:val="0"/>
          <w:numId w:val="8"/>
        </w:numPr>
        <w:ind w:left="360"/>
        <w:jc w:val="both"/>
        <w:rPr>
          <w:color w:val="0D133D"/>
          <w:sz w:val="22"/>
          <w:szCs w:val="22"/>
          <w:lang w:val="en-US"/>
        </w:rPr>
      </w:pPr>
      <w:r w:rsidRPr="003A7FDD">
        <w:rPr>
          <w:color w:val="0D133D"/>
          <w:sz w:val="22"/>
          <w:szCs w:val="22"/>
        </w:rPr>
        <w:t>Employees cannot be made redundant or put on notice of redundancy during the period within which their employer is claiming the grant for that employee</w:t>
      </w:r>
    </w:p>
    <w:p w14:paraId="7677D709" w14:textId="77777777" w:rsidR="00F94C00" w:rsidRPr="003A7FDD" w:rsidRDefault="00F94C00" w:rsidP="00F94C00">
      <w:pPr>
        <w:pStyle w:val="Heading1"/>
        <w:rPr>
          <w:color w:val="36BEAE"/>
          <w:sz w:val="28"/>
          <w:szCs w:val="22"/>
          <w:lang w:val="en-US"/>
        </w:rPr>
      </w:pPr>
      <w:r w:rsidRPr="003A7FDD">
        <w:rPr>
          <w:color w:val="36BEAE"/>
          <w:sz w:val="28"/>
          <w:szCs w:val="22"/>
          <w:lang w:val="en-US"/>
        </w:rPr>
        <w:t>How can I claim?</w:t>
      </w:r>
    </w:p>
    <w:p w14:paraId="6E816290" w14:textId="77777777" w:rsidR="00F94C00" w:rsidRPr="003A7FDD" w:rsidRDefault="00F94C00" w:rsidP="00F94C00">
      <w:pPr>
        <w:pStyle w:val="BodyText"/>
        <w:numPr>
          <w:ilvl w:val="0"/>
          <w:numId w:val="9"/>
        </w:numPr>
        <w:ind w:left="360"/>
        <w:jc w:val="both"/>
        <w:rPr>
          <w:color w:val="0D133D"/>
          <w:sz w:val="22"/>
          <w:szCs w:val="22"/>
        </w:rPr>
      </w:pPr>
      <w:r w:rsidRPr="003A7FDD">
        <w:rPr>
          <w:color w:val="0D133D"/>
          <w:sz w:val="22"/>
          <w:szCs w:val="22"/>
        </w:rPr>
        <w:t>The scheme will be open from 1 November 2020 to the end of April 2021. Employers will be able to make a claim online through Gov.uk from December 2020. They will be paid on a monthly basis.</w:t>
      </w:r>
    </w:p>
    <w:p w14:paraId="74AF1689" w14:textId="77777777" w:rsidR="00F94C00" w:rsidRPr="003A7FDD" w:rsidRDefault="00F94C00" w:rsidP="00F94C00">
      <w:pPr>
        <w:pStyle w:val="BodyText"/>
        <w:jc w:val="both"/>
        <w:rPr>
          <w:color w:val="0D133D"/>
          <w:sz w:val="22"/>
          <w:szCs w:val="22"/>
        </w:rPr>
      </w:pPr>
    </w:p>
    <w:p w14:paraId="7C007915" w14:textId="77777777" w:rsidR="00F94C00" w:rsidRPr="003A7FDD" w:rsidRDefault="00F94C00" w:rsidP="00F94C00">
      <w:pPr>
        <w:pStyle w:val="BodyText"/>
        <w:numPr>
          <w:ilvl w:val="0"/>
          <w:numId w:val="9"/>
        </w:numPr>
        <w:ind w:left="360"/>
        <w:jc w:val="both"/>
        <w:rPr>
          <w:color w:val="0D133D"/>
          <w:sz w:val="22"/>
          <w:szCs w:val="22"/>
          <w:lang w:val="en-US"/>
        </w:rPr>
      </w:pPr>
      <w:r w:rsidRPr="003A7FDD">
        <w:rPr>
          <w:color w:val="0D133D"/>
          <w:sz w:val="22"/>
          <w:szCs w:val="22"/>
        </w:rPr>
        <w:t>Grants will be payable in arrears meaning that a claim can only be submitted in respect of a given pay period, after payment to the employee has been made and that payment has been reported to HMRC via an RTI return.</w:t>
      </w:r>
    </w:p>
    <w:p w14:paraId="39320973" w14:textId="77777777" w:rsidR="00F94C00" w:rsidRPr="003A7FDD" w:rsidRDefault="00F94C00" w:rsidP="00F94C00">
      <w:pPr>
        <w:pStyle w:val="Heading1"/>
        <w:rPr>
          <w:color w:val="36BEAE"/>
          <w:sz w:val="28"/>
          <w:szCs w:val="22"/>
          <w:lang w:val="en-US"/>
        </w:rPr>
      </w:pPr>
      <w:r w:rsidRPr="003A7FDD">
        <w:rPr>
          <w:color w:val="36BEAE"/>
          <w:sz w:val="28"/>
          <w:szCs w:val="22"/>
          <w:lang w:val="en-US"/>
        </w:rPr>
        <w:t>HMRC checks</w:t>
      </w:r>
    </w:p>
    <w:p w14:paraId="4FA14D21" w14:textId="77777777" w:rsidR="00F94C00" w:rsidRPr="003A7FDD" w:rsidRDefault="00F94C00" w:rsidP="00F94C00">
      <w:pPr>
        <w:pStyle w:val="BodyText"/>
        <w:numPr>
          <w:ilvl w:val="0"/>
          <w:numId w:val="10"/>
        </w:numPr>
        <w:ind w:left="360"/>
        <w:jc w:val="both"/>
        <w:rPr>
          <w:color w:val="0D133D"/>
          <w:sz w:val="22"/>
          <w:szCs w:val="22"/>
        </w:rPr>
      </w:pPr>
      <w:r w:rsidRPr="003A7FDD">
        <w:rPr>
          <w:color w:val="0D133D"/>
          <w:sz w:val="22"/>
          <w:szCs w:val="22"/>
        </w:rPr>
        <w:t xml:space="preserve">HMRC will check claims. Payments may be withheld or need to be paid back if a claim is found to be fraudulent or based on incorrect information. Grants can only be used as reimbursement for wage costs actually incurred. </w:t>
      </w:r>
    </w:p>
    <w:p w14:paraId="7A18C859" w14:textId="77777777" w:rsidR="00F94C00" w:rsidRPr="003A7FDD" w:rsidRDefault="00F94C00" w:rsidP="00F94C00">
      <w:pPr>
        <w:pStyle w:val="BodyText"/>
        <w:jc w:val="both"/>
        <w:rPr>
          <w:color w:val="0D133D"/>
          <w:sz w:val="22"/>
          <w:szCs w:val="22"/>
        </w:rPr>
      </w:pPr>
    </w:p>
    <w:p w14:paraId="23CAE49C" w14:textId="77777777" w:rsidR="00F94C00" w:rsidRPr="003A7FDD" w:rsidRDefault="00F94C00" w:rsidP="00F94C00">
      <w:pPr>
        <w:pStyle w:val="BodyText"/>
        <w:numPr>
          <w:ilvl w:val="0"/>
          <w:numId w:val="10"/>
        </w:numPr>
        <w:ind w:left="360"/>
        <w:jc w:val="both"/>
        <w:rPr>
          <w:color w:val="0D133D"/>
          <w:sz w:val="22"/>
          <w:szCs w:val="22"/>
        </w:rPr>
      </w:pPr>
      <w:r w:rsidRPr="003A7FDD">
        <w:rPr>
          <w:color w:val="0D133D"/>
          <w:sz w:val="22"/>
          <w:szCs w:val="22"/>
        </w:rPr>
        <w:t xml:space="preserve">Employers must agree the new short-time working arrangements with their staff, make any changes to the employment contract by agreement, and notify the employee in writing. This agreement must be made available to HMRC on request. </w:t>
      </w:r>
    </w:p>
    <w:p w14:paraId="39B10C44" w14:textId="77777777" w:rsidR="00F94C00" w:rsidRPr="003A7FDD" w:rsidRDefault="00F94C00" w:rsidP="00F94C00">
      <w:pPr>
        <w:pStyle w:val="BodyText"/>
        <w:jc w:val="both"/>
        <w:rPr>
          <w:color w:val="0D133D"/>
          <w:sz w:val="22"/>
          <w:szCs w:val="22"/>
        </w:rPr>
      </w:pPr>
    </w:p>
    <w:p w14:paraId="58304D24" w14:textId="77777777" w:rsidR="00F94C00" w:rsidRPr="003A7FDD" w:rsidRDefault="00F94C00" w:rsidP="00F94C00">
      <w:pPr>
        <w:pStyle w:val="BodyText"/>
        <w:numPr>
          <w:ilvl w:val="0"/>
          <w:numId w:val="10"/>
        </w:numPr>
        <w:ind w:left="360"/>
        <w:jc w:val="both"/>
        <w:rPr>
          <w:color w:val="0D133D"/>
          <w:sz w:val="22"/>
          <w:szCs w:val="22"/>
          <w:lang w:val="en-US"/>
        </w:rPr>
      </w:pPr>
      <w:r w:rsidRPr="003A7FDD">
        <w:rPr>
          <w:color w:val="0D133D"/>
          <w:sz w:val="22"/>
          <w:szCs w:val="22"/>
        </w:rPr>
        <w:t>Our intention is that employees will be informed by HMRC directly of full details of the claim.</w:t>
      </w:r>
    </w:p>
    <w:p w14:paraId="500C4002" w14:textId="77777777" w:rsidR="003A7FDD" w:rsidRDefault="003A7FDD" w:rsidP="003A7FDD">
      <w:pPr>
        <w:pStyle w:val="ListParagraph"/>
        <w:numPr>
          <w:ilvl w:val="0"/>
          <w:numId w:val="0"/>
        </w:numPr>
        <w:ind w:left="1440"/>
        <w:rPr>
          <w:color w:val="0D133D"/>
          <w:sz w:val="22"/>
          <w:szCs w:val="22"/>
          <w:lang w:val="en-US"/>
        </w:rPr>
      </w:pPr>
    </w:p>
    <w:p w14:paraId="01007614" w14:textId="77777777" w:rsidR="003A7FDD" w:rsidRDefault="003A7FDD" w:rsidP="003A7FDD">
      <w:pPr>
        <w:pStyle w:val="ListParagraph"/>
        <w:numPr>
          <w:ilvl w:val="0"/>
          <w:numId w:val="0"/>
        </w:numPr>
        <w:ind w:left="1440"/>
        <w:rPr>
          <w:color w:val="0D133D"/>
          <w:sz w:val="22"/>
          <w:szCs w:val="22"/>
          <w:lang w:val="en-US"/>
        </w:rPr>
      </w:pPr>
    </w:p>
    <w:p w14:paraId="09BE9F95" w14:textId="77777777" w:rsidR="003A7FDD" w:rsidRDefault="003A7FDD" w:rsidP="003A7FDD">
      <w:pPr>
        <w:pStyle w:val="ListParagraph"/>
        <w:numPr>
          <w:ilvl w:val="0"/>
          <w:numId w:val="0"/>
        </w:numPr>
        <w:ind w:left="1440"/>
        <w:rPr>
          <w:color w:val="0D133D"/>
          <w:sz w:val="22"/>
          <w:szCs w:val="22"/>
          <w:lang w:val="en-US"/>
        </w:rPr>
      </w:pPr>
    </w:p>
    <w:p w14:paraId="70FCC116" w14:textId="77777777" w:rsidR="003A7FDD" w:rsidRDefault="003A7FDD" w:rsidP="003A7FDD">
      <w:pPr>
        <w:pStyle w:val="ListParagraph"/>
        <w:numPr>
          <w:ilvl w:val="0"/>
          <w:numId w:val="0"/>
        </w:numPr>
        <w:ind w:left="1440"/>
        <w:rPr>
          <w:color w:val="0D133D"/>
          <w:sz w:val="22"/>
          <w:szCs w:val="22"/>
          <w:lang w:val="en-US"/>
        </w:rPr>
      </w:pPr>
    </w:p>
    <w:p w14:paraId="2B8869E8" w14:textId="77777777" w:rsidR="003A7FDD" w:rsidRDefault="003A7FDD" w:rsidP="003A7FDD">
      <w:pPr>
        <w:pStyle w:val="ListParagraph"/>
        <w:numPr>
          <w:ilvl w:val="0"/>
          <w:numId w:val="0"/>
        </w:numPr>
        <w:ind w:left="1440"/>
        <w:rPr>
          <w:color w:val="0D133D"/>
          <w:sz w:val="22"/>
          <w:szCs w:val="22"/>
          <w:lang w:val="en-US"/>
        </w:rPr>
      </w:pPr>
    </w:p>
    <w:p w14:paraId="2B53C3B9" w14:textId="77777777" w:rsidR="003A7FDD" w:rsidRPr="003A7FDD" w:rsidRDefault="003A7FDD" w:rsidP="003A7FDD">
      <w:pPr>
        <w:pStyle w:val="ListParagraph"/>
        <w:numPr>
          <w:ilvl w:val="0"/>
          <w:numId w:val="0"/>
        </w:numPr>
        <w:ind w:left="1440"/>
        <w:rPr>
          <w:color w:val="0D133D"/>
          <w:sz w:val="22"/>
          <w:szCs w:val="22"/>
          <w:lang w:val="en-US"/>
        </w:rPr>
      </w:pPr>
    </w:p>
    <w:p w14:paraId="47884CE6" w14:textId="77777777" w:rsidR="00F94C00" w:rsidRPr="003A7FDD" w:rsidRDefault="00F94C00" w:rsidP="00F94C00">
      <w:pPr>
        <w:pStyle w:val="Heading1"/>
        <w:rPr>
          <w:color w:val="36BEAE"/>
          <w:sz w:val="28"/>
          <w:szCs w:val="22"/>
          <w:lang w:val="en-US"/>
        </w:rPr>
      </w:pPr>
      <w:r w:rsidRPr="003A7FDD">
        <w:rPr>
          <w:color w:val="36BEAE"/>
          <w:sz w:val="28"/>
          <w:szCs w:val="22"/>
          <w:lang w:val="en-US"/>
        </w:rPr>
        <w:lastRenderedPageBreak/>
        <w:t>Examples</w:t>
      </w:r>
    </w:p>
    <w:p w14:paraId="52FAF257" w14:textId="77777777" w:rsidR="00F94C00" w:rsidRPr="003A7FDD" w:rsidRDefault="00F94C00" w:rsidP="00F94C00">
      <w:pPr>
        <w:pStyle w:val="BodyText"/>
        <w:rPr>
          <w:sz w:val="22"/>
          <w:szCs w:val="22"/>
          <w:lang w:val="en-US"/>
        </w:rPr>
      </w:pPr>
    </w:p>
    <w:p w14:paraId="002FC4D5" w14:textId="77777777" w:rsidR="003A7FDD" w:rsidRPr="003A7FDD" w:rsidRDefault="003A7FDD" w:rsidP="003A7FDD">
      <w:pPr>
        <w:pStyle w:val="BodyText"/>
        <w:numPr>
          <w:ilvl w:val="0"/>
          <w:numId w:val="11"/>
        </w:numPr>
        <w:ind w:left="360"/>
        <w:jc w:val="both"/>
        <w:rPr>
          <w:color w:val="0D133D"/>
          <w:sz w:val="22"/>
          <w:szCs w:val="22"/>
        </w:rPr>
      </w:pPr>
      <w:r w:rsidRPr="003A7FDD">
        <w:rPr>
          <w:color w:val="0D133D"/>
          <w:sz w:val="22"/>
          <w:szCs w:val="22"/>
        </w:rPr>
        <w:t xml:space="preserve">Beth normally works 5 days a week and earns £350 a week. Her company is suffering reduced sales due to coronavirus. Rather than making Beth redundant, the company puts Beth on the Job Support Scheme, working 2 days a week (40% of her usual hours). </w:t>
      </w:r>
    </w:p>
    <w:p w14:paraId="439ECEF5" w14:textId="77777777" w:rsidR="003A7FDD" w:rsidRPr="003A7FDD" w:rsidRDefault="003A7FDD" w:rsidP="003A7FDD">
      <w:pPr>
        <w:pStyle w:val="BodyText"/>
        <w:jc w:val="both"/>
        <w:rPr>
          <w:color w:val="0D133D"/>
          <w:sz w:val="22"/>
          <w:szCs w:val="22"/>
        </w:rPr>
      </w:pPr>
    </w:p>
    <w:p w14:paraId="3E7673F5" w14:textId="77777777" w:rsidR="003A7FDD" w:rsidRPr="003A7FDD" w:rsidRDefault="003A7FDD" w:rsidP="003A7FDD">
      <w:pPr>
        <w:pStyle w:val="BodyText"/>
        <w:numPr>
          <w:ilvl w:val="0"/>
          <w:numId w:val="11"/>
        </w:numPr>
        <w:ind w:left="360"/>
        <w:jc w:val="both"/>
        <w:rPr>
          <w:color w:val="0D133D"/>
          <w:sz w:val="22"/>
          <w:szCs w:val="22"/>
        </w:rPr>
      </w:pPr>
      <w:r w:rsidRPr="003A7FDD">
        <w:rPr>
          <w:color w:val="0D133D"/>
          <w:sz w:val="22"/>
          <w:szCs w:val="22"/>
        </w:rPr>
        <w:t xml:space="preserve">Her employer pays Beth £140 for the days she works. </w:t>
      </w:r>
    </w:p>
    <w:p w14:paraId="614B55E5" w14:textId="77777777" w:rsidR="003A7FDD" w:rsidRPr="003A7FDD" w:rsidRDefault="003A7FDD" w:rsidP="003A7FDD">
      <w:pPr>
        <w:pStyle w:val="BodyText"/>
        <w:jc w:val="both"/>
        <w:rPr>
          <w:color w:val="0D133D"/>
          <w:sz w:val="22"/>
          <w:szCs w:val="22"/>
        </w:rPr>
      </w:pPr>
    </w:p>
    <w:p w14:paraId="222B0E81" w14:textId="77777777" w:rsidR="003A7FDD" w:rsidRPr="003A7FDD" w:rsidRDefault="003A7FDD" w:rsidP="003A7FDD">
      <w:pPr>
        <w:pStyle w:val="BodyText"/>
        <w:numPr>
          <w:ilvl w:val="0"/>
          <w:numId w:val="11"/>
        </w:numPr>
        <w:ind w:left="360"/>
        <w:jc w:val="both"/>
        <w:rPr>
          <w:color w:val="0D133D"/>
          <w:sz w:val="22"/>
          <w:szCs w:val="22"/>
        </w:rPr>
      </w:pPr>
      <w:r w:rsidRPr="003A7FDD">
        <w:rPr>
          <w:color w:val="0D133D"/>
          <w:sz w:val="22"/>
          <w:szCs w:val="22"/>
        </w:rPr>
        <w:t>And for the time she is not working (3 days or 60%, worth £210), she will also earn 2/3, or £140, bringing her total earnings to £280, 80% of her normal wage.</w:t>
      </w:r>
    </w:p>
    <w:p w14:paraId="68D83C4F" w14:textId="77777777" w:rsidR="003A7FDD" w:rsidRPr="003A7FDD" w:rsidRDefault="003A7FDD" w:rsidP="003A7FDD">
      <w:pPr>
        <w:pStyle w:val="BodyText"/>
        <w:jc w:val="both"/>
        <w:rPr>
          <w:color w:val="0D133D"/>
          <w:sz w:val="22"/>
          <w:szCs w:val="22"/>
        </w:rPr>
      </w:pPr>
    </w:p>
    <w:p w14:paraId="4A8E8D8C" w14:textId="77777777" w:rsidR="00F94C00" w:rsidRPr="003A7FDD" w:rsidRDefault="003A7FDD" w:rsidP="003A7FDD">
      <w:pPr>
        <w:pStyle w:val="BodyText"/>
        <w:numPr>
          <w:ilvl w:val="0"/>
          <w:numId w:val="11"/>
        </w:numPr>
        <w:ind w:left="360"/>
        <w:jc w:val="both"/>
        <w:rPr>
          <w:color w:val="0D133D"/>
          <w:sz w:val="22"/>
          <w:szCs w:val="22"/>
          <w:lang w:val="en-US"/>
        </w:rPr>
      </w:pPr>
      <w:r w:rsidRPr="003A7FDD">
        <w:rPr>
          <w:color w:val="0D133D"/>
          <w:sz w:val="22"/>
          <w:szCs w:val="22"/>
        </w:rPr>
        <w:t>The Government will give a grant worth £70 (1/3 of hours not worked, equivalent to 20% of her normal wages) to Beth’s employer to support them in keeping Beth’s job.</w:t>
      </w:r>
    </w:p>
    <w:p w14:paraId="59D90E72" w14:textId="77777777" w:rsidR="00F5516B" w:rsidRPr="003A7FDD" w:rsidRDefault="00F5516B" w:rsidP="00F5516B">
      <w:pPr>
        <w:pStyle w:val="BodyText"/>
        <w:rPr>
          <w:sz w:val="22"/>
          <w:szCs w:val="22"/>
        </w:rPr>
      </w:pPr>
    </w:p>
    <w:p w14:paraId="770C1C67" w14:textId="77777777" w:rsidR="00F5516B" w:rsidRPr="003A7FDD" w:rsidRDefault="00F5516B" w:rsidP="00F5516B">
      <w:pPr>
        <w:pStyle w:val="BodyText"/>
        <w:rPr>
          <w:sz w:val="22"/>
          <w:szCs w:val="22"/>
        </w:rPr>
      </w:pPr>
    </w:p>
    <w:p w14:paraId="26AA9853" w14:textId="77777777" w:rsidR="00037C84" w:rsidRPr="003A7FDD" w:rsidRDefault="00037C84" w:rsidP="00037C84">
      <w:pPr>
        <w:pStyle w:val="BodyText"/>
        <w:rPr>
          <w:sz w:val="22"/>
          <w:szCs w:val="22"/>
        </w:rPr>
      </w:pPr>
    </w:p>
    <w:tbl>
      <w:tblPr>
        <w:tblStyle w:val="TableGrid"/>
        <w:tblW w:w="0" w:type="auto"/>
        <w:tblLook w:val="04A0" w:firstRow="1" w:lastRow="0" w:firstColumn="1" w:lastColumn="0" w:noHBand="0" w:noVBand="1"/>
      </w:tblPr>
      <w:tblGrid>
        <w:gridCol w:w="3823"/>
        <w:gridCol w:w="1134"/>
        <w:gridCol w:w="992"/>
        <w:gridCol w:w="992"/>
        <w:gridCol w:w="1134"/>
        <w:gridCol w:w="941"/>
      </w:tblGrid>
      <w:tr w:rsidR="003A7FDD" w:rsidRPr="003A7FDD" w14:paraId="70A68C81" w14:textId="77777777" w:rsidTr="003A7FDD">
        <w:tc>
          <w:tcPr>
            <w:tcW w:w="3823" w:type="dxa"/>
          </w:tcPr>
          <w:p w14:paraId="79A27A32" w14:textId="77777777" w:rsidR="003A7FDD" w:rsidRPr="003A7FDD" w:rsidRDefault="003A7FDD" w:rsidP="008156A6">
            <w:pPr>
              <w:pStyle w:val="BodyText"/>
              <w:rPr>
                <w:color w:val="0D133D"/>
                <w:sz w:val="22"/>
                <w:szCs w:val="22"/>
              </w:rPr>
            </w:pPr>
            <w:r w:rsidRPr="003A7FDD">
              <w:rPr>
                <w:color w:val="0D133D"/>
                <w:sz w:val="22"/>
                <w:szCs w:val="22"/>
              </w:rPr>
              <w:t>Hours employee worked</w:t>
            </w:r>
          </w:p>
        </w:tc>
        <w:tc>
          <w:tcPr>
            <w:tcW w:w="1134" w:type="dxa"/>
          </w:tcPr>
          <w:p w14:paraId="6936CC65" w14:textId="77777777" w:rsidR="003A7FDD" w:rsidRPr="003A7FDD" w:rsidRDefault="003A7FDD" w:rsidP="008156A6">
            <w:pPr>
              <w:pStyle w:val="BodyText"/>
              <w:rPr>
                <w:color w:val="0D133D"/>
                <w:sz w:val="22"/>
                <w:szCs w:val="22"/>
              </w:rPr>
            </w:pPr>
            <w:r w:rsidRPr="003A7FDD">
              <w:rPr>
                <w:color w:val="0D133D"/>
                <w:sz w:val="22"/>
                <w:szCs w:val="22"/>
              </w:rPr>
              <w:t>33%</w:t>
            </w:r>
          </w:p>
        </w:tc>
        <w:tc>
          <w:tcPr>
            <w:tcW w:w="992" w:type="dxa"/>
          </w:tcPr>
          <w:p w14:paraId="764C1ED2" w14:textId="77777777" w:rsidR="003A7FDD" w:rsidRPr="003A7FDD" w:rsidRDefault="003A7FDD" w:rsidP="008156A6">
            <w:pPr>
              <w:pStyle w:val="BodyText"/>
              <w:rPr>
                <w:color w:val="0D133D"/>
                <w:sz w:val="22"/>
                <w:szCs w:val="22"/>
              </w:rPr>
            </w:pPr>
            <w:r w:rsidRPr="003A7FDD">
              <w:rPr>
                <w:color w:val="0D133D"/>
                <w:sz w:val="22"/>
                <w:szCs w:val="22"/>
              </w:rPr>
              <w:t>40%</w:t>
            </w:r>
          </w:p>
        </w:tc>
        <w:tc>
          <w:tcPr>
            <w:tcW w:w="992" w:type="dxa"/>
          </w:tcPr>
          <w:p w14:paraId="61476037" w14:textId="77777777" w:rsidR="003A7FDD" w:rsidRPr="003A7FDD" w:rsidRDefault="003A7FDD" w:rsidP="008156A6">
            <w:pPr>
              <w:pStyle w:val="BodyText"/>
              <w:rPr>
                <w:color w:val="0D133D"/>
                <w:sz w:val="22"/>
                <w:szCs w:val="22"/>
              </w:rPr>
            </w:pPr>
            <w:r w:rsidRPr="003A7FDD">
              <w:rPr>
                <w:color w:val="0D133D"/>
                <w:sz w:val="22"/>
                <w:szCs w:val="22"/>
              </w:rPr>
              <w:t>50%</w:t>
            </w:r>
          </w:p>
        </w:tc>
        <w:tc>
          <w:tcPr>
            <w:tcW w:w="1134" w:type="dxa"/>
          </w:tcPr>
          <w:p w14:paraId="0A42F6A0" w14:textId="77777777" w:rsidR="003A7FDD" w:rsidRPr="003A7FDD" w:rsidRDefault="003A7FDD" w:rsidP="008156A6">
            <w:pPr>
              <w:pStyle w:val="BodyText"/>
              <w:rPr>
                <w:color w:val="0D133D"/>
                <w:sz w:val="22"/>
                <w:szCs w:val="22"/>
              </w:rPr>
            </w:pPr>
            <w:r w:rsidRPr="003A7FDD">
              <w:rPr>
                <w:color w:val="0D133D"/>
                <w:sz w:val="22"/>
                <w:szCs w:val="22"/>
              </w:rPr>
              <w:t>60%</w:t>
            </w:r>
          </w:p>
        </w:tc>
        <w:tc>
          <w:tcPr>
            <w:tcW w:w="941" w:type="dxa"/>
          </w:tcPr>
          <w:p w14:paraId="45FC0708" w14:textId="77777777" w:rsidR="003A7FDD" w:rsidRPr="003A7FDD" w:rsidRDefault="003A7FDD" w:rsidP="008156A6">
            <w:pPr>
              <w:pStyle w:val="BodyText"/>
              <w:rPr>
                <w:color w:val="0D133D"/>
                <w:sz w:val="22"/>
                <w:szCs w:val="22"/>
              </w:rPr>
            </w:pPr>
            <w:r w:rsidRPr="003A7FDD">
              <w:rPr>
                <w:color w:val="0D133D"/>
                <w:sz w:val="22"/>
                <w:szCs w:val="22"/>
              </w:rPr>
              <w:t>70%</w:t>
            </w:r>
          </w:p>
        </w:tc>
      </w:tr>
      <w:tr w:rsidR="003A7FDD" w:rsidRPr="003A7FDD" w14:paraId="7BBF3E9B" w14:textId="77777777" w:rsidTr="003A7FDD">
        <w:tc>
          <w:tcPr>
            <w:tcW w:w="3823" w:type="dxa"/>
          </w:tcPr>
          <w:p w14:paraId="40691F75" w14:textId="77777777" w:rsidR="003A7FDD" w:rsidRPr="003A7FDD" w:rsidRDefault="003A7FDD" w:rsidP="008156A6">
            <w:pPr>
              <w:pStyle w:val="BodyText"/>
              <w:rPr>
                <w:color w:val="0D133D"/>
                <w:sz w:val="22"/>
                <w:szCs w:val="22"/>
              </w:rPr>
            </w:pPr>
            <w:r w:rsidRPr="003A7FDD">
              <w:rPr>
                <w:color w:val="0D133D"/>
                <w:sz w:val="22"/>
                <w:szCs w:val="22"/>
              </w:rPr>
              <w:t>Hours employee not working</w:t>
            </w:r>
          </w:p>
        </w:tc>
        <w:tc>
          <w:tcPr>
            <w:tcW w:w="1134" w:type="dxa"/>
          </w:tcPr>
          <w:p w14:paraId="1BE8A93E" w14:textId="77777777" w:rsidR="003A7FDD" w:rsidRPr="003A7FDD" w:rsidRDefault="003A7FDD" w:rsidP="008156A6">
            <w:pPr>
              <w:pStyle w:val="BodyText"/>
              <w:rPr>
                <w:color w:val="0D133D"/>
                <w:sz w:val="22"/>
                <w:szCs w:val="22"/>
              </w:rPr>
            </w:pPr>
            <w:r w:rsidRPr="003A7FDD">
              <w:rPr>
                <w:color w:val="0D133D"/>
                <w:sz w:val="22"/>
                <w:szCs w:val="22"/>
              </w:rPr>
              <w:t>67%</w:t>
            </w:r>
          </w:p>
        </w:tc>
        <w:tc>
          <w:tcPr>
            <w:tcW w:w="992" w:type="dxa"/>
          </w:tcPr>
          <w:p w14:paraId="47B16BEA" w14:textId="77777777" w:rsidR="003A7FDD" w:rsidRPr="003A7FDD" w:rsidRDefault="003A7FDD" w:rsidP="008156A6">
            <w:pPr>
              <w:pStyle w:val="BodyText"/>
              <w:rPr>
                <w:color w:val="0D133D"/>
                <w:sz w:val="22"/>
                <w:szCs w:val="22"/>
              </w:rPr>
            </w:pPr>
            <w:r w:rsidRPr="003A7FDD">
              <w:rPr>
                <w:color w:val="0D133D"/>
                <w:sz w:val="22"/>
                <w:szCs w:val="22"/>
              </w:rPr>
              <w:t>60%</w:t>
            </w:r>
          </w:p>
        </w:tc>
        <w:tc>
          <w:tcPr>
            <w:tcW w:w="992" w:type="dxa"/>
          </w:tcPr>
          <w:p w14:paraId="7C85D947" w14:textId="77777777" w:rsidR="003A7FDD" w:rsidRPr="003A7FDD" w:rsidRDefault="003A7FDD" w:rsidP="008156A6">
            <w:pPr>
              <w:pStyle w:val="BodyText"/>
              <w:rPr>
                <w:color w:val="0D133D"/>
                <w:sz w:val="22"/>
                <w:szCs w:val="22"/>
              </w:rPr>
            </w:pPr>
            <w:r w:rsidRPr="003A7FDD">
              <w:rPr>
                <w:color w:val="0D133D"/>
                <w:sz w:val="22"/>
                <w:szCs w:val="22"/>
              </w:rPr>
              <w:t>50%</w:t>
            </w:r>
          </w:p>
        </w:tc>
        <w:tc>
          <w:tcPr>
            <w:tcW w:w="1134" w:type="dxa"/>
          </w:tcPr>
          <w:p w14:paraId="35ED80DD" w14:textId="77777777" w:rsidR="003A7FDD" w:rsidRPr="003A7FDD" w:rsidRDefault="003A7FDD" w:rsidP="008156A6">
            <w:pPr>
              <w:pStyle w:val="BodyText"/>
              <w:rPr>
                <w:color w:val="0D133D"/>
                <w:sz w:val="22"/>
                <w:szCs w:val="22"/>
              </w:rPr>
            </w:pPr>
            <w:r w:rsidRPr="003A7FDD">
              <w:rPr>
                <w:color w:val="0D133D"/>
                <w:sz w:val="22"/>
                <w:szCs w:val="22"/>
              </w:rPr>
              <w:t>40%</w:t>
            </w:r>
          </w:p>
        </w:tc>
        <w:tc>
          <w:tcPr>
            <w:tcW w:w="941" w:type="dxa"/>
          </w:tcPr>
          <w:p w14:paraId="737572BA" w14:textId="77777777" w:rsidR="003A7FDD" w:rsidRPr="003A7FDD" w:rsidRDefault="003A7FDD" w:rsidP="008156A6">
            <w:pPr>
              <w:pStyle w:val="BodyText"/>
              <w:rPr>
                <w:color w:val="0D133D"/>
                <w:sz w:val="22"/>
                <w:szCs w:val="22"/>
              </w:rPr>
            </w:pPr>
            <w:r w:rsidRPr="003A7FDD">
              <w:rPr>
                <w:color w:val="0D133D"/>
                <w:sz w:val="22"/>
                <w:szCs w:val="22"/>
              </w:rPr>
              <w:t>30%</w:t>
            </w:r>
          </w:p>
        </w:tc>
      </w:tr>
      <w:tr w:rsidR="003A7FDD" w:rsidRPr="003A7FDD" w14:paraId="39C299E5" w14:textId="77777777" w:rsidTr="003A7FDD">
        <w:tc>
          <w:tcPr>
            <w:tcW w:w="3823" w:type="dxa"/>
          </w:tcPr>
          <w:p w14:paraId="72D1B605" w14:textId="77777777" w:rsidR="003A7FDD" w:rsidRPr="003A7FDD" w:rsidRDefault="003A7FDD" w:rsidP="008156A6">
            <w:pPr>
              <w:pStyle w:val="BodyText"/>
              <w:rPr>
                <w:color w:val="0D133D"/>
                <w:sz w:val="22"/>
                <w:szCs w:val="22"/>
              </w:rPr>
            </w:pPr>
            <w:r w:rsidRPr="003A7FDD">
              <w:rPr>
                <w:color w:val="0D133D"/>
                <w:sz w:val="22"/>
                <w:szCs w:val="22"/>
              </w:rPr>
              <w:t>Employee earnings (% of normal wages)</w:t>
            </w:r>
          </w:p>
        </w:tc>
        <w:tc>
          <w:tcPr>
            <w:tcW w:w="1134" w:type="dxa"/>
          </w:tcPr>
          <w:p w14:paraId="7240C571" w14:textId="77777777" w:rsidR="003A7FDD" w:rsidRPr="003A7FDD" w:rsidRDefault="003A7FDD" w:rsidP="008156A6">
            <w:pPr>
              <w:pStyle w:val="BodyText"/>
              <w:rPr>
                <w:color w:val="0D133D"/>
                <w:sz w:val="22"/>
                <w:szCs w:val="22"/>
              </w:rPr>
            </w:pPr>
            <w:r w:rsidRPr="003A7FDD">
              <w:rPr>
                <w:color w:val="0D133D"/>
                <w:sz w:val="22"/>
                <w:szCs w:val="22"/>
              </w:rPr>
              <w:t>78%</w:t>
            </w:r>
          </w:p>
        </w:tc>
        <w:tc>
          <w:tcPr>
            <w:tcW w:w="992" w:type="dxa"/>
          </w:tcPr>
          <w:p w14:paraId="39E361FC" w14:textId="77777777" w:rsidR="003A7FDD" w:rsidRPr="003A7FDD" w:rsidRDefault="003A7FDD" w:rsidP="008156A6">
            <w:pPr>
              <w:pStyle w:val="BodyText"/>
              <w:rPr>
                <w:color w:val="0D133D"/>
                <w:sz w:val="22"/>
                <w:szCs w:val="22"/>
              </w:rPr>
            </w:pPr>
            <w:r w:rsidRPr="003A7FDD">
              <w:rPr>
                <w:color w:val="0D133D"/>
                <w:sz w:val="22"/>
                <w:szCs w:val="22"/>
              </w:rPr>
              <w:t>80%</w:t>
            </w:r>
          </w:p>
        </w:tc>
        <w:tc>
          <w:tcPr>
            <w:tcW w:w="992" w:type="dxa"/>
          </w:tcPr>
          <w:p w14:paraId="6332C39B" w14:textId="77777777" w:rsidR="003A7FDD" w:rsidRPr="003A7FDD" w:rsidRDefault="003A7FDD" w:rsidP="008156A6">
            <w:pPr>
              <w:pStyle w:val="BodyText"/>
              <w:rPr>
                <w:color w:val="0D133D"/>
                <w:sz w:val="22"/>
                <w:szCs w:val="22"/>
              </w:rPr>
            </w:pPr>
            <w:r w:rsidRPr="003A7FDD">
              <w:rPr>
                <w:color w:val="0D133D"/>
                <w:sz w:val="22"/>
                <w:szCs w:val="22"/>
              </w:rPr>
              <w:t>83%</w:t>
            </w:r>
          </w:p>
        </w:tc>
        <w:tc>
          <w:tcPr>
            <w:tcW w:w="1134" w:type="dxa"/>
          </w:tcPr>
          <w:p w14:paraId="2D8700F4" w14:textId="77777777" w:rsidR="003A7FDD" w:rsidRPr="003A7FDD" w:rsidRDefault="003A7FDD" w:rsidP="008156A6">
            <w:pPr>
              <w:pStyle w:val="BodyText"/>
              <w:rPr>
                <w:color w:val="0D133D"/>
                <w:sz w:val="22"/>
                <w:szCs w:val="22"/>
              </w:rPr>
            </w:pPr>
            <w:r w:rsidRPr="003A7FDD">
              <w:rPr>
                <w:color w:val="0D133D"/>
                <w:sz w:val="22"/>
                <w:szCs w:val="22"/>
              </w:rPr>
              <w:t>87%</w:t>
            </w:r>
          </w:p>
        </w:tc>
        <w:tc>
          <w:tcPr>
            <w:tcW w:w="941" w:type="dxa"/>
          </w:tcPr>
          <w:p w14:paraId="2F3C5CD8" w14:textId="77777777" w:rsidR="003A7FDD" w:rsidRPr="003A7FDD" w:rsidRDefault="003A7FDD" w:rsidP="008156A6">
            <w:pPr>
              <w:pStyle w:val="BodyText"/>
              <w:rPr>
                <w:color w:val="0D133D"/>
                <w:sz w:val="22"/>
                <w:szCs w:val="22"/>
              </w:rPr>
            </w:pPr>
            <w:r w:rsidRPr="003A7FDD">
              <w:rPr>
                <w:color w:val="0D133D"/>
                <w:sz w:val="22"/>
                <w:szCs w:val="22"/>
              </w:rPr>
              <w:t>90%</w:t>
            </w:r>
          </w:p>
        </w:tc>
      </w:tr>
      <w:tr w:rsidR="003A7FDD" w:rsidRPr="003A7FDD" w14:paraId="41DAD350" w14:textId="77777777" w:rsidTr="003A7FDD">
        <w:tc>
          <w:tcPr>
            <w:tcW w:w="3823" w:type="dxa"/>
          </w:tcPr>
          <w:p w14:paraId="7996AE58" w14:textId="77777777" w:rsidR="003A7FDD" w:rsidRPr="003A7FDD" w:rsidRDefault="003A7FDD" w:rsidP="008156A6">
            <w:pPr>
              <w:pStyle w:val="BodyText"/>
              <w:rPr>
                <w:color w:val="0D133D"/>
                <w:sz w:val="22"/>
                <w:szCs w:val="22"/>
              </w:rPr>
            </w:pPr>
            <w:r w:rsidRPr="003A7FDD">
              <w:rPr>
                <w:color w:val="0D133D"/>
                <w:sz w:val="22"/>
                <w:szCs w:val="22"/>
              </w:rPr>
              <w:t>Gov't grant (% of normal wages)</w:t>
            </w:r>
          </w:p>
        </w:tc>
        <w:tc>
          <w:tcPr>
            <w:tcW w:w="1134" w:type="dxa"/>
          </w:tcPr>
          <w:p w14:paraId="24AB631A" w14:textId="77777777" w:rsidR="003A7FDD" w:rsidRPr="003A7FDD" w:rsidRDefault="003A7FDD" w:rsidP="008156A6">
            <w:pPr>
              <w:pStyle w:val="BodyText"/>
              <w:rPr>
                <w:color w:val="0D133D"/>
                <w:sz w:val="22"/>
                <w:szCs w:val="22"/>
              </w:rPr>
            </w:pPr>
            <w:r w:rsidRPr="003A7FDD">
              <w:rPr>
                <w:color w:val="0D133D"/>
                <w:sz w:val="22"/>
                <w:szCs w:val="22"/>
              </w:rPr>
              <w:t>22%</w:t>
            </w:r>
          </w:p>
        </w:tc>
        <w:tc>
          <w:tcPr>
            <w:tcW w:w="992" w:type="dxa"/>
          </w:tcPr>
          <w:p w14:paraId="5E059D1B" w14:textId="77777777" w:rsidR="003A7FDD" w:rsidRPr="003A7FDD" w:rsidRDefault="003A7FDD" w:rsidP="008156A6">
            <w:pPr>
              <w:pStyle w:val="BodyText"/>
              <w:rPr>
                <w:color w:val="0D133D"/>
                <w:sz w:val="22"/>
                <w:szCs w:val="22"/>
              </w:rPr>
            </w:pPr>
            <w:r w:rsidRPr="003A7FDD">
              <w:rPr>
                <w:color w:val="0D133D"/>
                <w:sz w:val="22"/>
                <w:szCs w:val="22"/>
              </w:rPr>
              <w:t>20%</w:t>
            </w:r>
          </w:p>
        </w:tc>
        <w:tc>
          <w:tcPr>
            <w:tcW w:w="992" w:type="dxa"/>
          </w:tcPr>
          <w:p w14:paraId="18690BA6" w14:textId="77777777" w:rsidR="003A7FDD" w:rsidRPr="003A7FDD" w:rsidRDefault="003A7FDD" w:rsidP="008156A6">
            <w:pPr>
              <w:pStyle w:val="BodyText"/>
              <w:rPr>
                <w:color w:val="0D133D"/>
                <w:sz w:val="22"/>
                <w:szCs w:val="22"/>
              </w:rPr>
            </w:pPr>
            <w:r w:rsidRPr="003A7FDD">
              <w:rPr>
                <w:color w:val="0D133D"/>
                <w:sz w:val="22"/>
                <w:szCs w:val="22"/>
              </w:rPr>
              <w:t>17%</w:t>
            </w:r>
          </w:p>
        </w:tc>
        <w:tc>
          <w:tcPr>
            <w:tcW w:w="1134" w:type="dxa"/>
          </w:tcPr>
          <w:p w14:paraId="10F095EE" w14:textId="77777777" w:rsidR="003A7FDD" w:rsidRPr="003A7FDD" w:rsidRDefault="003A7FDD" w:rsidP="008156A6">
            <w:pPr>
              <w:pStyle w:val="BodyText"/>
              <w:rPr>
                <w:color w:val="0D133D"/>
                <w:sz w:val="22"/>
                <w:szCs w:val="22"/>
              </w:rPr>
            </w:pPr>
            <w:r w:rsidRPr="003A7FDD">
              <w:rPr>
                <w:color w:val="0D133D"/>
                <w:sz w:val="22"/>
                <w:szCs w:val="22"/>
              </w:rPr>
              <w:t>13%</w:t>
            </w:r>
          </w:p>
        </w:tc>
        <w:tc>
          <w:tcPr>
            <w:tcW w:w="941" w:type="dxa"/>
          </w:tcPr>
          <w:p w14:paraId="78B48EE5" w14:textId="77777777" w:rsidR="003A7FDD" w:rsidRPr="003A7FDD" w:rsidRDefault="003A7FDD" w:rsidP="008156A6">
            <w:pPr>
              <w:pStyle w:val="BodyText"/>
              <w:rPr>
                <w:color w:val="0D133D"/>
                <w:sz w:val="22"/>
                <w:szCs w:val="22"/>
              </w:rPr>
            </w:pPr>
            <w:r w:rsidRPr="003A7FDD">
              <w:rPr>
                <w:color w:val="0D133D"/>
                <w:sz w:val="22"/>
                <w:szCs w:val="22"/>
              </w:rPr>
              <w:t>10%</w:t>
            </w:r>
          </w:p>
        </w:tc>
      </w:tr>
      <w:tr w:rsidR="003A7FDD" w:rsidRPr="003A7FDD" w14:paraId="08FD3AB5" w14:textId="77777777" w:rsidTr="003A7FDD">
        <w:tc>
          <w:tcPr>
            <w:tcW w:w="3823" w:type="dxa"/>
          </w:tcPr>
          <w:p w14:paraId="02E9821A" w14:textId="77777777" w:rsidR="003A7FDD" w:rsidRPr="003A7FDD" w:rsidRDefault="003A7FDD" w:rsidP="008156A6">
            <w:pPr>
              <w:pStyle w:val="BodyText"/>
              <w:rPr>
                <w:color w:val="0D133D"/>
                <w:sz w:val="22"/>
                <w:szCs w:val="22"/>
              </w:rPr>
            </w:pPr>
            <w:r w:rsidRPr="003A7FDD">
              <w:rPr>
                <w:color w:val="0D133D"/>
                <w:sz w:val="22"/>
                <w:szCs w:val="22"/>
              </w:rPr>
              <w:t>Employer cost (% of normal wages)</w:t>
            </w:r>
          </w:p>
        </w:tc>
        <w:tc>
          <w:tcPr>
            <w:tcW w:w="1134" w:type="dxa"/>
          </w:tcPr>
          <w:p w14:paraId="5330D159" w14:textId="77777777" w:rsidR="003A7FDD" w:rsidRPr="003A7FDD" w:rsidRDefault="003A7FDD" w:rsidP="008156A6">
            <w:pPr>
              <w:pStyle w:val="BodyText"/>
              <w:rPr>
                <w:color w:val="0D133D"/>
                <w:sz w:val="22"/>
                <w:szCs w:val="22"/>
              </w:rPr>
            </w:pPr>
            <w:r w:rsidRPr="003A7FDD">
              <w:rPr>
                <w:color w:val="0D133D"/>
                <w:sz w:val="22"/>
                <w:szCs w:val="22"/>
              </w:rPr>
              <w:t>55%</w:t>
            </w:r>
          </w:p>
        </w:tc>
        <w:tc>
          <w:tcPr>
            <w:tcW w:w="992" w:type="dxa"/>
          </w:tcPr>
          <w:p w14:paraId="12DC1C21" w14:textId="77777777" w:rsidR="003A7FDD" w:rsidRPr="003A7FDD" w:rsidRDefault="003A7FDD" w:rsidP="008156A6">
            <w:pPr>
              <w:pStyle w:val="BodyText"/>
              <w:rPr>
                <w:color w:val="0D133D"/>
                <w:sz w:val="22"/>
                <w:szCs w:val="22"/>
              </w:rPr>
            </w:pPr>
            <w:r w:rsidRPr="003A7FDD">
              <w:rPr>
                <w:color w:val="0D133D"/>
                <w:sz w:val="22"/>
                <w:szCs w:val="22"/>
              </w:rPr>
              <w:t>60%</w:t>
            </w:r>
          </w:p>
        </w:tc>
        <w:tc>
          <w:tcPr>
            <w:tcW w:w="992" w:type="dxa"/>
          </w:tcPr>
          <w:p w14:paraId="212FCB79" w14:textId="77777777" w:rsidR="003A7FDD" w:rsidRPr="003A7FDD" w:rsidRDefault="003A7FDD" w:rsidP="008156A6">
            <w:pPr>
              <w:pStyle w:val="BodyText"/>
              <w:rPr>
                <w:color w:val="0D133D"/>
                <w:sz w:val="22"/>
                <w:szCs w:val="22"/>
              </w:rPr>
            </w:pPr>
            <w:r w:rsidRPr="003A7FDD">
              <w:rPr>
                <w:color w:val="0D133D"/>
                <w:sz w:val="22"/>
                <w:szCs w:val="22"/>
              </w:rPr>
              <w:t>67%</w:t>
            </w:r>
          </w:p>
        </w:tc>
        <w:tc>
          <w:tcPr>
            <w:tcW w:w="1134" w:type="dxa"/>
          </w:tcPr>
          <w:p w14:paraId="419D9E40" w14:textId="77777777" w:rsidR="003A7FDD" w:rsidRPr="003A7FDD" w:rsidRDefault="003A7FDD" w:rsidP="008156A6">
            <w:pPr>
              <w:pStyle w:val="BodyText"/>
              <w:rPr>
                <w:color w:val="0D133D"/>
                <w:sz w:val="22"/>
                <w:szCs w:val="22"/>
              </w:rPr>
            </w:pPr>
            <w:r w:rsidRPr="003A7FDD">
              <w:rPr>
                <w:color w:val="0D133D"/>
                <w:sz w:val="22"/>
                <w:szCs w:val="22"/>
              </w:rPr>
              <w:t>73%</w:t>
            </w:r>
          </w:p>
        </w:tc>
        <w:tc>
          <w:tcPr>
            <w:tcW w:w="941" w:type="dxa"/>
          </w:tcPr>
          <w:p w14:paraId="56CCC70E" w14:textId="77777777" w:rsidR="003A7FDD" w:rsidRPr="003A7FDD" w:rsidRDefault="003A7FDD" w:rsidP="008156A6">
            <w:pPr>
              <w:pStyle w:val="BodyText"/>
              <w:rPr>
                <w:color w:val="0D133D"/>
                <w:sz w:val="22"/>
                <w:szCs w:val="22"/>
              </w:rPr>
            </w:pPr>
            <w:r w:rsidRPr="003A7FDD">
              <w:rPr>
                <w:color w:val="0D133D"/>
                <w:sz w:val="22"/>
                <w:szCs w:val="22"/>
              </w:rPr>
              <w:t>80%</w:t>
            </w:r>
          </w:p>
        </w:tc>
      </w:tr>
    </w:tbl>
    <w:p w14:paraId="75C1E454" w14:textId="77777777" w:rsidR="00527771" w:rsidRPr="00527771" w:rsidRDefault="00527771" w:rsidP="008156A6">
      <w:pPr>
        <w:pStyle w:val="BodyText"/>
      </w:pPr>
    </w:p>
    <w:sectPr w:rsidR="00527771" w:rsidRPr="00527771" w:rsidSect="00213EE0">
      <w:headerReference w:type="default" r:id="rId8"/>
      <w:footerReference w:type="default" r:id="rId9"/>
      <w:pgSz w:w="11906" w:h="16838"/>
      <w:pgMar w:top="2268"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D64B9" w14:textId="77777777" w:rsidR="00460757" w:rsidRDefault="00460757" w:rsidP="008F24B5">
      <w:pPr>
        <w:spacing w:after="0" w:line="240" w:lineRule="auto"/>
      </w:pPr>
      <w:r>
        <w:separator/>
      </w:r>
    </w:p>
  </w:endnote>
  <w:endnote w:type="continuationSeparator" w:id="0">
    <w:p w14:paraId="0859EA58" w14:textId="77777777" w:rsidR="00460757" w:rsidRDefault="00460757" w:rsidP="008F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4D"/>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Lato" w:hAnsi="Lato"/>
        <w:color w:val="0D133D" w:themeColor="text1"/>
        <w:sz w:val="18"/>
        <w:szCs w:val="18"/>
      </w:rPr>
      <w:id w:val="2124034797"/>
      <w:docPartObj>
        <w:docPartGallery w:val="Page Numbers (Bottom of Page)"/>
        <w:docPartUnique/>
      </w:docPartObj>
    </w:sdtPr>
    <w:sdtEndPr>
      <w:rPr>
        <w:noProof/>
      </w:rPr>
    </w:sdtEndPr>
    <w:sdtContent>
      <w:p w14:paraId="20F132C3" w14:textId="77777777" w:rsidR="003A7FDD" w:rsidRDefault="006A65D9" w:rsidP="00213EE0">
        <w:pPr>
          <w:pStyle w:val="Footer"/>
          <w:pBdr>
            <w:top w:val="single" w:sz="4" w:space="1" w:color="0D133D" w:themeColor="text1"/>
          </w:pBdr>
          <w:jc w:val="right"/>
          <w:rPr>
            <w:rFonts w:ascii="Lato" w:hAnsi="Lato"/>
            <w:noProof/>
            <w:color w:val="0D133D" w:themeColor="text1"/>
            <w:sz w:val="18"/>
            <w:szCs w:val="18"/>
          </w:rPr>
        </w:pPr>
        <w:r w:rsidRPr="00213EE0">
          <w:rPr>
            <w:rFonts w:ascii="Lato" w:hAnsi="Lato"/>
            <w:color w:val="0D133D" w:themeColor="text1"/>
            <w:sz w:val="18"/>
            <w:szCs w:val="18"/>
          </w:rPr>
          <w:t>p</w:t>
        </w:r>
        <w:r w:rsidRPr="00213EE0">
          <w:rPr>
            <w:rFonts w:ascii="Lato" w:hAnsi="Lato"/>
            <w:color w:val="0D133D" w:themeColor="text1"/>
            <w:sz w:val="18"/>
            <w:szCs w:val="18"/>
          </w:rPr>
          <w:fldChar w:fldCharType="begin"/>
        </w:r>
        <w:r w:rsidRPr="00213EE0">
          <w:rPr>
            <w:rFonts w:ascii="Lato" w:hAnsi="Lato"/>
            <w:color w:val="0D133D" w:themeColor="text1"/>
            <w:sz w:val="18"/>
            <w:szCs w:val="18"/>
          </w:rPr>
          <w:instrText xml:space="preserve"> PAGE   \* MERGEFORMAT </w:instrText>
        </w:r>
        <w:r w:rsidRPr="00213EE0">
          <w:rPr>
            <w:rFonts w:ascii="Lato" w:hAnsi="Lato"/>
            <w:color w:val="0D133D" w:themeColor="text1"/>
            <w:sz w:val="18"/>
            <w:szCs w:val="18"/>
          </w:rPr>
          <w:fldChar w:fldCharType="separate"/>
        </w:r>
        <w:r w:rsidRPr="00213EE0">
          <w:rPr>
            <w:rFonts w:ascii="Lato" w:hAnsi="Lato"/>
            <w:noProof/>
            <w:color w:val="0D133D" w:themeColor="text1"/>
            <w:sz w:val="18"/>
            <w:szCs w:val="18"/>
          </w:rPr>
          <w:t>2</w:t>
        </w:r>
        <w:r w:rsidRPr="00213EE0">
          <w:rPr>
            <w:rFonts w:ascii="Lato" w:hAnsi="Lato"/>
            <w:noProof/>
            <w:color w:val="0D133D" w:themeColor="text1"/>
            <w:sz w:val="18"/>
            <w:szCs w:val="18"/>
          </w:rPr>
          <w:fldChar w:fldCharType="end"/>
        </w:r>
      </w:p>
      <w:p w14:paraId="60351CFC" w14:textId="77777777" w:rsidR="006A65D9" w:rsidRPr="00213EE0" w:rsidRDefault="003A7FDD" w:rsidP="00213EE0">
        <w:pPr>
          <w:pStyle w:val="Footer"/>
          <w:pBdr>
            <w:top w:val="single" w:sz="4" w:space="1" w:color="0D133D" w:themeColor="text1"/>
          </w:pBdr>
          <w:jc w:val="right"/>
          <w:rPr>
            <w:rFonts w:ascii="Lato" w:hAnsi="Lato"/>
            <w:color w:val="0D133D" w:themeColor="text1"/>
            <w:sz w:val="18"/>
            <w:szCs w:val="18"/>
          </w:rPr>
        </w:pPr>
        <w:r>
          <w:rPr>
            <w:rFonts w:ascii="Lato" w:hAnsi="Lato"/>
            <w:color w:val="0D133D" w:themeColor="text1"/>
            <w:sz w:val="18"/>
            <w:szCs w:val="18"/>
          </w:rPr>
          <w:t>September 2020 version 1</w:t>
        </w:r>
      </w:p>
    </w:sdtContent>
  </w:sdt>
  <w:p w14:paraId="70A5C796" w14:textId="77777777" w:rsidR="006A65D9" w:rsidRDefault="006A6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50A67" w14:textId="77777777" w:rsidR="00460757" w:rsidRDefault="00460757" w:rsidP="008F24B5">
      <w:pPr>
        <w:spacing w:after="0" w:line="240" w:lineRule="auto"/>
      </w:pPr>
      <w:r>
        <w:separator/>
      </w:r>
    </w:p>
  </w:footnote>
  <w:footnote w:type="continuationSeparator" w:id="0">
    <w:p w14:paraId="57D8A9EA" w14:textId="77777777" w:rsidR="00460757" w:rsidRDefault="00460757" w:rsidP="008F2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9484" w14:textId="77777777" w:rsidR="008F24B5" w:rsidRDefault="008F24B5">
    <w:pPr>
      <w:pStyle w:val="Header"/>
    </w:pPr>
    <w:r>
      <w:rPr>
        <w:noProof/>
      </w:rPr>
      <w:drawing>
        <wp:anchor distT="0" distB="0" distL="114300" distR="114300" simplePos="0" relativeHeight="251658240" behindDoc="0" locked="0" layoutInCell="1" allowOverlap="1" wp14:anchorId="6036BD68" wp14:editId="2F0D3073">
          <wp:simplePos x="0" y="0"/>
          <wp:positionH relativeFrom="page">
            <wp:align>left</wp:align>
          </wp:positionH>
          <wp:positionV relativeFrom="page">
            <wp:align>top</wp:align>
          </wp:positionV>
          <wp:extent cx="7560000" cy="993600"/>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header imag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9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7909"/>
    <w:multiLevelType w:val="hybridMultilevel"/>
    <w:tmpl w:val="6272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85C83"/>
    <w:multiLevelType w:val="multilevel"/>
    <w:tmpl w:val="A5B20FD0"/>
    <w:lvl w:ilvl="0">
      <w:start w:val="1"/>
      <w:numFmt w:val="decimal"/>
      <w:pStyle w:val="Heading1"/>
      <w:lvlText w:val="%1"/>
      <w:lvlJc w:val="left"/>
      <w:pPr>
        <w:ind w:left="432" w:hanging="432"/>
      </w:pPr>
    </w:lvl>
    <w:lvl w:ilvl="1">
      <w:start w:val="1"/>
      <w:numFmt w:val="decimal"/>
      <w:lvlText w:val="%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5C2D84"/>
    <w:multiLevelType w:val="hybridMultilevel"/>
    <w:tmpl w:val="D250DA6E"/>
    <w:lvl w:ilvl="0" w:tplc="2C9CC67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B67DF4"/>
    <w:multiLevelType w:val="hybridMultilevel"/>
    <w:tmpl w:val="A1AC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24060"/>
    <w:multiLevelType w:val="hybridMultilevel"/>
    <w:tmpl w:val="BB7E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63E56"/>
    <w:multiLevelType w:val="hybridMultilevel"/>
    <w:tmpl w:val="4614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D0D29"/>
    <w:multiLevelType w:val="hybridMultilevel"/>
    <w:tmpl w:val="1068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3F0DE1"/>
    <w:multiLevelType w:val="multilevel"/>
    <w:tmpl w:val="396AD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6524195"/>
    <w:multiLevelType w:val="hybridMultilevel"/>
    <w:tmpl w:val="8BF0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C2C85"/>
    <w:multiLevelType w:val="hybridMultilevel"/>
    <w:tmpl w:val="2F86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51476"/>
    <w:multiLevelType w:val="hybridMultilevel"/>
    <w:tmpl w:val="B6044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7"/>
  </w:num>
  <w:num w:numId="4">
    <w:abstractNumId w:val="10"/>
  </w:num>
  <w:num w:numId="5">
    <w:abstractNumId w:val="9"/>
  </w:num>
  <w:num w:numId="6">
    <w:abstractNumId w:val="0"/>
  </w:num>
  <w:num w:numId="7">
    <w:abstractNumId w:val="8"/>
  </w:num>
  <w:num w:numId="8">
    <w:abstractNumId w:val="6"/>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6B"/>
    <w:rsid w:val="00037C84"/>
    <w:rsid w:val="00040416"/>
    <w:rsid w:val="000834C5"/>
    <w:rsid w:val="00213EE0"/>
    <w:rsid w:val="002241C5"/>
    <w:rsid w:val="002A266A"/>
    <w:rsid w:val="003A7FDD"/>
    <w:rsid w:val="00460757"/>
    <w:rsid w:val="004C7733"/>
    <w:rsid w:val="00527771"/>
    <w:rsid w:val="00614DCF"/>
    <w:rsid w:val="006A65D9"/>
    <w:rsid w:val="006E0610"/>
    <w:rsid w:val="008156A6"/>
    <w:rsid w:val="008F24B5"/>
    <w:rsid w:val="00960976"/>
    <w:rsid w:val="00C1431E"/>
    <w:rsid w:val="00C66570"/>
    <w:rsid w:val="00CC1252"/>
    <w:rsid w:val="00DE5A4E"/>
    <w:rsid w:val="00E4294B"/>
    <w:rsid w:val="00E8410F"/>
    <w:rsid w:val="00F5516B"/>
    <w:rsid w:val="00F94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2CDF1"/>
  <w15:chartTrackingRefBased/>
  <w15:docId w15:val="{4A86F6E9-5173-472A-A4C0-70F897FB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52"/>
  </w:style>
  <w:style w:type="paragraph" w:styleId="Heading1">
    <w:name w:val="heading 1"/>
    <w:basedOn w:val="Normal"/>
    <w:next w:val="BodyText"/>
    <w:link w:val="Heading1Char"/>
    <w:uiPriority w:val="9"/>
    <w:qFormat/>
    <w:rsid w:val="00DE5A4E"/>
    <w:pPr>
      <w:numPr>
        <w:numId w:val="2"/>
      </w:numPr>
      <w:spacing w:before="360" w:after="180" w:line="240" w:lineRule="auto"/>
      <w:outlineLvl w:val="0"/>
    </w:pPr>
    <w:rPr>
      <w:rFonts w:ascii="Lato" w:hAnsi="Lato"/>
      <w:color w:val="0D133D"/>
      <w:sz w:val="32"/>
      <w:szCs w:val="32"/>
      <w14:ligatures w14:val="standard"/>
    </w:rPr>
  </w:style>
  <w:style w:type="paragraph" w:styleId="Heading2">
    <w:name w:val="heading 2"/>
    <w:basedOn w:val="Normal"/>
    <w:next w:val="BodyText"/>
    <w:link w:val="Heading2Char"/>
    <w:uiPriority w:val="9"/>
    <w:unhideWhenUsed/>
    <w:qFormat/>
    <w:rsid w:val="00DE5A4E"/>
    <w:pPr>
      <w:spacing w:before="240" w:after="120" w:line="240" w:lineRule="auto"/>
      <w:outlineLvl w:val="1"/>
    </w:pPr>
    <w:rPr>
      <w:rFonts w:ascii="Lato" w:hAnsi="Lato"/>
      <w:color w:val="5974D4"/>
      <w:sz w:val="28"/>
      <w:szCs w:val="32"/>
      <w14:ligatures w14:val="standard"/>
    </w:rPr>
  </w:style>
  <w:style w:type="paragraph" w:styleId="Heading3">
    <w:name w:val="heading 3"/>
    <w:basedOn w:val="Normal"/>
    <w:next w:val="BodyText"/>
    <w:link w:val="Heading3Char"/>
    <w:uiPriority w:val="9"/>
    <w:unhideWhenUsed/>
    <w:qFormat/>
    <w:rsid w:val="00C1431E"/>
    <w:pPr>
      <w:numPr>
        <w:ilvl w:val="2"/>
        <w:numId w:val="2"/>
      </w:numPr>
      <w:spacing w:before="240" w:after="0" w:line="240" w:lineRule="auto"/>
      <w:outlineLvl w:val="2"/>
    </w:pPr>
    <w:rPr>
      <w:rFonts w:ascii="Lato" w:hAnsi="Lato"/>
      <w:color w:val="5974D4"/>
      <w14:ligatures w14:val="standard"/>
    </w:rPr>
  </w:style>
  <w:style w:type="paragraph" w:styleId="Heading4">
    <w:name w:val="heading 4"/>
    <w:basedOn w:val="Normal"/>
    <w:next w:val="Normal"/>
    <w:link w:val="Heading4Char"/>
    <w:uiPriority w:val="9"/>
    <w:semiHidden/>
    <w:unhideWhenUsed/>
    <w:qFormat/>
    <w:rsid w:val="00527771"/>
    <w:pPr>
      <w:keepNext/>
      <w:keepLines/>
      <w:numPr>
        <w:ilvl w:val="3"/>
        <w:numId w:val="2"/>
      </w:numPr>
      <w:spacing w:before="40" w:after="0"/>
      <w:outlineLvl w:val="3"/>
    </w:pPr>
    <w:rPr>
      <w:rFonts w:asciiTheme="majorHAnsi" w:eastAsiaTheme="majorEastAsia" w:hAnsiTheme="majorHAnsi" w:cstheme="majorBidi"/>
      <w:i/>
      <w:iCs/>
      <w:color w:val="ED9F00" w:themeColor="accent1" w:themeShade="BF"/>
    </w:rPr>
  </w:style>
  <w:style w:type="paragraph" w:styleId="Heading5">
    <w:name w:val="heading 5"/>
    <w:basedOn w:val="Normal"/>
    <w:next w:val="Normal"/>
    <w:link w:val="Heading5Char"/>
    <w:uiPriority w:val="9"/>
    <w:semiHidden/>
    <w:unhideWhenUsed/>
    <w:qFormat/>
    <w:rsid w:val="00527771"/>
    <w:pPr>
      <w:keepNext/>
      <w:keepLines/>
      <w:numPr>
        <w:ilvl w:val="4"/>
        <w:numId w:val="2"/>
      </w:numPr>
      <w:spacing w:before="40" w:after="0"/>
      <w:outlineLvl w:val="4"/>
    </w:pPr>
    <w:rPr>
      <w:rFonts w:asciiTheme="majorHAnsi" w:eastAsiaTheme="majorEastAsia" w:hAnsiTheme="majorHAnsi" w:cstheme="majorBidi"/>
      <w:color w:val="ED9F00" w:themeColor="accent1" w:themeShade="BF"/>
    </w:rPr>
  </w:style>
  <w:style w:type="paragraph" w:styleId="Heading6">
    <w:name w:val="heading 6"/>
    <w:basedOn w:val="Normal"/>
    <w:next w:val="Normal"/>
    <w:link w:val="Heading6Char"/>
    <w:uiPriority w:val="9"/>
    <w:semiHidden/>
    <w:unhideWhenUsed/>
    <w:qFormat/>
    <w:rsid w:val="00527771"/>
    <w:pPr>
      <w:keepNext/>
      <w:keepLines/>
      <w:numPr>
        <w:ilvl w:val="5"/>
        <w:numId w:val="2"/>
      </w:numPr>
      <w:spacing w:before="40" w:after="0"/>
      <w:outlineLvl w:val="5"/>
    </w:pPr>
    <w:rPr>
      <w:rFonts w:asciiTheme="majorHAnsi" w:eastAsiaTheme="majorEastAsia" w:hAnsiTheme="majorHAnsi" w:cstheme="majorBidi"/>
      <w:color w:val="9D6900" w:themeColor="accent1" w:themeShade="7F"/>
    </w:rPr>
  </w:style>
  <w:style w:type="paragraph" w:styleId="Heading7">
    <w:name w:val="heading 7"/>
    <w:basedOn w:val="Normal"/>
    <w:next w:val="Normal"/>
    <w:link w:val="Heading7Char"/>
    <w:uiPriority w:val="9"/>
    <w:semiHidden/>
    <w:unhideWhenUsed/>
    <w:qFormat/>
    <w:rsid w:val="00527771"/>
    <w:pPr>
      <w:keepNext/>
      <w:keepLines/>
      <w:numPr>
        <w:ilvl w:val="6"/>
        <w:numId w:val="2"/>
      </w:numPr>
      <w:spacing w:before="40" w:after="0"/>
      <w:outlineLvl w:val="6"/>
    </w:pPr>
    <w:rPr>
      <w:rFonts w:asciiTheme="majorHAnsi" w:eastAsiaTheme="majorEastAsia" w:hAnsiTheme="majorHAnsi" w:cstheme="majorBidi"/>
      <w:i/>
      <w:iCs/>
      <w:color w:val="9D6900" w:themeColor="accent1" w:themeShade="7F"/>
    </w:rPr>
  </w:style>
  <w:style w:type="paragraph" w:styleId="Heading8">
    <w:name w:val="heading 8"/>
    <w:basedOn w:val="Normal"/>
    <w:next w:val="Normal"/>
    <w:link w:val="Heading8Char"/>
    <w:uiPriority w:val="9"/>
    <w:semiHidden/>
    <w:unhideWhenUsed/>
    <w:qFormat/>
    <w:rsid w:val="00527771"/>
    <w:pPr>
      <w:keepNext/>
      <w:keepLines/>
      <w:numPr>
        <w:ilvl w:val="7"/>
        <w:numId w:val="2"/>
      </w:numPr>
      <w:spacing w:before="40" w:after="0"/>
      <w:outlineLvl w:val="7"/>
    </w:pPr>
    <w:rPr>
      <w:rFonts w:asciiTheme="majorHAnsi" w:eastAsiaTheme="majorEastAsia" w:hAnsiTheme="majorHAnsi" w:cstheme="majorBidi"/>
      <w:color w:val="182373" w:themeColor="text1" w:themeTint="D8"/>
      <w:sz w:val="21"/>
      <w:szCs w:val="21"/>
    </w:rPr>
  </w:style>
  <w:style w:type="paragraph" w:styleId="Heading9">
    <w:name w:val="heading 9"/>
    <w:basedOn w:val="Normal"/>
    <w:next w:val="Normal"/>
    <w:link w:val="Heading9Char"/>
    <w:uiPriority w:val="9"/>
    <w:semiHidden/>
    <w:unhideWhenUsed/>
    <w:qFormat/>
    <w:rsid w:val="00527771"/>
    <w:pPr>
      <w:keepNext/>
      <w:keepLines/>
      <w:numPr>
        <w:ilvl w:val="8"/>
        <w:numId w:val="2"/>
      </w:numPr>
      <w:spacing w:before="40" w:after="0"/>
      <w:outlineLvl w:val="8"/>
    </w:pPr>
    <w:rPr>
      <w:rFonts w:asciiTheme="majorHAnsi" w:eastAsiaTheme="majorEastAsia" w:hAnsiTheme="majorHAnsi" w:cstheme="majorBidi"/>
      <w:i/>
      <w:iCs/>
      <w:color w:val="1823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5A4E"/>
    <w:pPr>
      <w:spacing w:after="0" w:line="240" w:lineRule="auto"/>
    </w:pPr>
    <w:rPr>
      <w:rFonts w:ascii="Lato" w:hAnsi="Lato"/>
      <w:sz w:val="20"/>
      <w:szCs w:val="20"/>
      <w14:ligatures w14:val="standard"/>
    </w:rPr>
  </w:style>
  <w:style w:type="character" w:customStyle="1" w:styleId="BodyTextChar">
    <w:name w:val="Body Text Char"/>
    <w:basedOn w:val="DefaultParagraphFont"/>
    <w:link w:val="BodyText"/>
    <w:rsid w:val="00DE5A4E"/>
    <w:rPr>
      <w:rFonts w:ascii="Lato" w:hAnsi="Lato"/>
      <w:sz w:val="20"/>
      <w:szCs w:val="20"/>
      <w14:ligatures w14:val="standard"/>
    </w:rPr>
  </w:style>
  <w:style w:type="character" w:customStyle="1" w:styleId="Heading1Char">
    <w:name w:val="Heading 1 Char"/>
    <w:basedOn w:val="DefaultParagraphFont"/>
    <w:link w:val="Heading1"/>
    <w:uiPriority w:val="9"/>
    <w:rsid w:val="00DE5A4E"/>
    <w:rPr>
      <w:rFonts w:ascii="Lato" w:hAnsi="Lato"/>
      <w:color w:val="0D133D"/>
      <w:sz w:val="32"/>
      <w:szCs w:val="32"/>
      <w14:ligatures w14:val="standard"/>
    </w:rPr>
  </w:style>
  <w:style w:type="character" w:customStyle="1" w:styleId="Heading2Char">
    <w:name w:val="Heading 2 Char"/>
    <w:basedOn w:val="DefaultParagraphFont"/>
    <w:link w:val="Heading2"/>
    <w:uiPriority w:val="9"/>
    <w:rsid w:val="00DE5A4E"/>
    <w:rPr>
      <w:rFonts w:ascii="Lato" w:hAnsi="Lato"/>
      <w:color w:val="5974D4"/>
      <w:sz w:val="28"/>
      <w:szCs w:val="32"/>
      <w14:ligatures w14:val="standard"/>
    </w:rPr>
  </w:style>
  <w:style w:type="character" w:customStyle="1" w:styleId="Heading3Char">
    <w:name w:val="Heading 3 Char"/>
    <w:basedOn w:val="DefaultParagraphFont"/>
    <w:link w:val="Heading3"/>
    <w:uiPriority w:val="9"/>
    <w:rsid w:val="00C1431E"/>
    <w:rPr>
      <w:rFonts w:ascii="Lato" w:hAnsi="Lato"/>
      <w:color w:val="5974D4"/>
      <w14:ligatures w14:val="standard"/>
    </w:rPr>
  </w:style>
  <w:style w:type="paragraph" w:customStyle="1" w:styleId="IntroductionParagraph">
    <w:name w:val="Introduction Paragraph"/>
    <w:basedOn w:val="BodyText"/>
    <w:qFormat/>
    <w:rsid w:val="00DE5A4E"/>
    <w:pPr>
      <w:spacing w:after="240" w:line="288" w:lineRule="auto"/>
      <w:ind w:left="567" w:right="567"/>
    </w:pPr>
    <w:rPr>
      <w:color w:val="5974D4"/>
      <w:sz w:val="24"/>
      <w:szCs w:val="24"/>
      <w:lang w:val="en"/>
    </w:rPr>
  </w:style>
  <w:style w:type="paragraph" w:customStyle="1" w:styleId="IntroductionTitle">
    <w:name w:val="Introduction Title"/>
    <w:next w:val="IntroductionParagraph"/>
    <w:qFormat/>
    <w:rsid w:val="00DE5A4E"/>
    <w:pPr>
      <w:spacing w:before="240" w:after="240"/>
    </w:pPr>
    <w:rPr>
      <w:rFonts w:ascii="Lato" w:hAnsi="Lato"/>
      <w:color w:val="5974D4"/>
      <w:sz w:val="32"/>
      <w:szCs w:val="32"/>
    </w:rPr>
  </w:style>
  <w:style w:type="paragraph" w:styleId="ListParagraph">
    <w:name w:val="List Paragraph"/>
    <w:basedOn w:val="Normal"/>
    <w:uiPriority w:val="34"/>
    <w:qFormat/>
    <w:rsid w:val="00DE5A4E"/>
    <w:pPr>
      <w:numPr>
        <w:numId w:val="1"/>
      </w:numPr>
      <w:spacing w:after="0" w:line="240" w:lineRule="auto"/>
      <w:contextualSpacing/>
      <w:jc w:val="both"/>
    </w:pPr>
    <w:rPr>
      <w:rFonts w:ascii="Lato" w:hAnsi="Lato"/>
      <w:sz w:val="20"/>
      <w:szCs w:val="20"/>
      <w14:ligatures w14:val="standard"/>
    </w:rPr>
  </w:style>
  <w:style w:type="table" w:styleId="ListTable3-Accent2">
    <w:name w:val="List Table 3 Accent 2"/>
    <w:basedOn w:val="TableNormal"/>
    <w:uiPriority w:val="48"/>
    <w:rsid w:val="00DE5A4E"/>
    <w:pPr>
      <w:spacing w:after="0" w:line="240" w:lineRule="auto"/>
    </w:pPr>
    <w:tblPr>
      <w:tblStyleRowBandSize w:val="1"/>
      <w:tblStyleColBandSize w:val="1"/>
      <w:tblBorders>
        <w:top w:val="single" w:sz="4" w:space="0" w:color="FF68A7" w:themeColor="accent2"/>
        <w:left w:val="single" w:sz="4" w:space="0" w:color="FF68A7" w:themeColor="accent2"/>
        <w:bottom w:val="single" w:sz="4" w:space="0" w:color="FF68A7" w:themeColor="accent2"/>
        <w:right w:val="single" w:sz="4" w:space="0" w:color="FF68A7" w:themeColor="accent2"/>
      </w:tblBorders>
    </w:tblPr>
    <w:tblStylePr w:type="firstRow">
      <w:rPr>
        <w:b/>
        <w:bCs/>
        <w:color w:val="5974D4" w:themeColor="background1"/>
      </w:rPr>
      <w:tblPr/>
      <w:tcPr>
        <w:shd w:val="clear" w:color="auto" w:fill="FF68A7" w:themeFill="accent2"/>
      </w:tcPr>
    </w:tblStylePr>
    <w:tblStylePr w:type="lastRow">
      <w:rPr>
        <w:b/>
        <w:bCs/>
      </w:rPr>
      <w:tblPr/>
      <w:tcPr>
        <w:tcBorders>
          <w:top w:val="double" w:sz="4" w:space="0" w:color="FF68A7" w:themeColor="accent2"/>
        </w:tcBorders>
        <w:shd w:val="clear" w:color="auto" w:fill="5974D4" w:themeFill="background1"/>
      </w:tcPr>
    </w:tblStylePr>
    <w:tblStylePr w:type="firstCol">
      <w:rPr>
        <w:b/>
        <w:bCs/>
      </w:rPr>
      <w:tblPr/>
      <w:tcPr>
        <w:tcBorders>
          <w:right w:val="nil"/>
        </w:tcBorders>
        <w:shd w:val="clear" w:color="auto" w:fill="5974D4" w:themeFill="background1"/>
      </w:tcPr>
    </w:tblStylePr>
    <w:tblStylePr w:type="lastCol">
      <w:rPr>
        <w:b/>
        <w:bCs/>
      </w:rPr>
      <w:tblPr/>
      <w:tcPr>
        <w:tcBorders>
          <w:left w:val="nil"/>
        </w:tcBorders>
        <w:shd w:val="clear" w:color="auto" w:fill="5974D4" w:themeFill="background1"/>
      </w:tcPr>
    </w:tblStylePr>
    <w:tblStylePr w:type="band1Vert">
      <w:tblPr/>
      <w:tcPr>
        <w:tcBorders>
          <w:left w:val="single" w:sz="4" w:space="0" w:color="FF68A7" w:themeColor="accent2"/>
          <w:right w:val="single" w:sz="4" w:space="0" w:color="FF68A7" w:themeColor="accent2"/>
        </w:tcBorders>
      </w:tcPr>
    </w:tblStylePr>
    <w:tblStylePr w:type="band1Horz">
      <w:tblPr/>
      <w:tcPr>
        <w:tcBorders>
          <w:top w:val="single" w:sz="4" w:space="0" w:color="FF68A7" w:themeColor="accent2"/>
          <w:bottom w:val="single" w:sz="4" w:space="0" w:color="FF68A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8A7" w:themeColor="accent2"/>
          <w:left w:val="nil"/>
        </w:tcBorders>
      </w:tcPr>
    </w:tblStylePr>
    <w:tblStylePr w:type="swCell">
      <w:tblPr/>
      <w:tcPr>
        <w:tcBorders>
          <w:top w:val="double" w:sz="4" w:space="0" w:color="FF68A7" w:themeColor="accent2"/>
          <w:right w:val="nil"/>
        </w:tcBorders>
      </w:tcPr>
    </w:tblStylePr>
  </w:style>
  <w:style w:type="table" w:customStyle="1" w:styleId="RECtable1">
    <w:name w:val="REC_table1"/>
    <w:basedOn w:val="TableNormal"/>
    <w:uiPriority w:val="99"/>
    <w:rsid w:val="00DE5A4E"/>
    <w:pPr>
      <w:spacing w:after="0" w:line="240" w:lineRule="auto"/>
    </w:pPr>
    <w:rPr>
      <w:color w:val="141D60" w:themeColor="text1" w:themeTint="E6"/>
      <w:sz w:val="20"/>
    </w:rPr>
    <w:tblPr>
      <w:tbl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blBorders>
    </w:tblPr>
    <w:tcPr>
      <w:tcMar>
        <w:top w:w="113" w:type="dxa"/>
        <w:left w:w="85" w:type="dxa"/>
        <w:bottom w:w="113" w:type="dxa"/>
        <w:right w:w="85" w:type="dxa"/>
      </w:tcMar>
    </w:tcPr>
    <w:tblStylePr w:type="firstRow">
      <w:rPr>
        <w:rFonts w:ascii="Lato" w:hAnsi="Lato"/>
        <w:b/>
        <w:sz w:val="22"/>
      </w:rPr>
      <w:tblPr/>
      <w:tcPr>
        <w:tc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l2br w:val="nil"/>
          <w:tr2bl w:val="nil"/>
        </w:tcBorders>
        <w:shd w:val="clear" w:color="auto" w:fill="DDE2F6" w:themeFill="background1" w:themeFillTint="33"/>
      </w:tcPr>
    </w:tblStylePr>
  </w:style>
  <w:style w:type="paragraph" w:styleId="Title">
    <w:name w:val="Title"/>
    <w:basedOn w:val="Normal"/>
    <w:next w:val="BodyText"/>
    <w:link w:val="TitleChar"/>
    <w:uiPriority w:val="10"/>
    <w:qFormat/>
    <w:rsid w:val="00DE5A4E"/>
    <w:pPr>
      <w:spacing w:before="240" w:after="480" w:line="240" w:lineRule="auto"/>
      <w:jc w:val="both"/>
    </w:pPr>
    <w:rPr>
      <w:rFonts w:ascii="Lato" w:hAnsi="Lato"/>
      <w:b/>
      <w:bCs/>
      <w:color w:val="0D133D"/>
      <w:sz w:val="44"/>
      <w:szCs w:val="52"/>
      <w14:ligatures w14:val="standard"/>
    </w:rPr>
  </w:style>
  <w:style w:type="character" w:customStyle="1" w:styleId="TitleChar">
    <w:name w:val="Title Char"/>
    <w:basedOn w:val="DefaultParagraphFont"/>
    <w:link w:val="Title"/>
    <w:uiPriority w:val="10"/>
    <w:rsid w:val="00DE5A4E"/>
    <w:rPr>
      <w:rFonts w:ascii="Lato" w:hAnsi="Lato"/>
      <w:b/>
      <w:bCs/>
      <w:color w:val="0D133D"/>
      <w:sz w:val="44"/>
      <w:szCs w:val="52"/>
      <w14:ligatures w14:val="standard"/>
    </w:rPr>
  </w:style>
  <w:style w:type="paragraph" w:styleId="Header">
    <w:name w:val="header"/>
    <w:basedOn w:val="Normal"/>
    <w:link w:val="HeaderChar"/>
    <w:uiPriority w:val="99"/>
    <w:unhideWhenUsed/>
    <w:rsid w:val="008F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4B5"/>
  </w:style>
  <w:style w:type="paragraph" w:styleId="Footer">
    <w:name w:val="footer"/>
    <w:basedOn w:val="Normal"/>
    <w:link w:val="FooterChar"/>
    <w:uiPriority w:val="99"/>
    <w:unhideWhenUsed/>
    <w:rsid w:val="008F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4B5"/>
  </w:style>
  <w:style w:type="character" w:customStyle="1" w:styleId="Heading4Char">
    <w:name w:val="Heading 4 Char"/>
    <w:basedOn w:val="DefaultParagraphFont"/>
    <w:link w:val="Heading4"/>
    <w:uiPriority w:val="9"/>
    <w:semiHidden/>
    <w:rsid w:val="00527771"/>
    <w:rPr>
      <w:rFonts w:asciiTheme="majorHAnsi" w:eastAsiaTheme="majorEastAsia" w:hAnsiTheme="majorHAnsi" w:cstheme="majorBidi"/>
      <w:i/>
      <w:iCs/>
      <w:color w:val="ED9F00" w:themeColor="accent1" w:themeShade="BF"/>
    </w:rPr>
  </w:style>
  <w:style w:type="character" w:customStyle="1" w:styleId="Heading5Char">
    <w:name w:val="Heading 5 Char"/>
    <w:basedOn w:val="DefaultParagraphFont"/>
    <w:link w:val="Heading5"/>
    <w:uiPriority w:val="9"/>
    <w:semiHidden/>
    <w:rsid w:val="00527771"/>
    <w:rPr>
      <w:rFonts w:asciiTheme="majorHAnsi" w:eastAsiaTheme="majorEastAsia" w:hAnsiTheme="majorHAnsi" w:cstheme="majorBidi"/>
      <w:color w:val="ED9F00" w:themeColor="accent1" w:themeShade="BF"/>
    </w:rPr>
  </w:style>
  <w:style w:type="character" w:customStyle="1" w:styleId="Heading6Char">
    <w:name w:val="Heading 6 Char"/>
    <w:basedOn w:val="DefaultParagraphFont"/>
    <w:link w:val="Heading6"/>
    <w:uiPriority w:val="9"/>
    <w:semiHidden/>
    <w:rsid w:val="00527771"/>
    <w:rPr>
      <w:rFonts w:asciiTheme="majorHAnsi" w:eastAsiaTheme="majorEastAsia" w:hAnsiTheme="majorHAnsi" w:cstheme="majorBidi"/>
      <w:color w:val="9D6900" w:themeColor="accent1" w:themeShade="7F"/>
    </w:rPr>
  </w:style>
  <w:style w:type="character" w:customStyle="1" w:styleId="Heading7Char">
    <w:name w:val="Heading 7 Char"/>
    <w:basedOn w:val="DefaultParagraphFont"/>
    <w:link w:val="Heading7"/>
    <w:uiPriority w:val="9"/>
    <w:semiHidden/>
    <w:rsid w:val="00527771"/>
    <w:rPr>
      <w:rFonts w:asciiTheme="majorHAnsi" w:eastAsiaTheme="majorEastAsia" w:hAnsiTheme="majorHAnsi" w:cstheme="majorBidi"/>
      <w:i/>
      <w:iCs/>
      <w:color w:val="9D6900" w:themeColor="accent1" w:themeShade="7F"/>
    </w:rPr>
  </w:style>
  <w:style w:type="character" w:customStyle="1" w:styleId="Heading8Char">
    <w:name w:val="Heading 8 Char"/>
    <w:basedOn w:val="DefaultParagraphFont"/>
    <w:link w:val="Heading8"/>
    <w:uiPriority w:val="9"/>
    <w:semiHidden/>
    <w:rsid w:val="00527771"/>
    <w:rPr>
      <w:rFonts w:asciiTheme="majorHAnsi" w:eastAsiaTheme="majorEastAsia" w:hAnsiTheme="majorHAnsi" w:cstheme="majorBidi"/>
      <w:color w:val="182373" w:themeColor="text1" w:themeTint="D8"/>
      <w:sz w:val="21"/>
      <w:szCs w:val="21"/>
    </w:rPr>
  </w:style>
  <w:style w:type="character" w:customStyle="1" w:styleId="Heading9Char">
    <w:name w:val="Heading 9 Char"/>
    <w:basedOn w:val="DefaultParagraphFont"/>
    <w:link w:val="Heading9"/>
    <w:uiPriority w:val="9"/>
    <w:semiHidden/>
    <w:rsid w:val="00527771"/>
    <w:rPr>
      <w:rFonts w:asciiTheme="majorHAnsi" w:eastAsiaTheme="majorEastAsia" w:hAnsiTheme="majorHAnsi" w:cstheme="majorBidi"/>
      <w:i/>
      <w:iCs/>
      <w:color w:val="182373" w:themeColor="text1" w:themeTint="D8"/>
      <w:sz w:val="21"/>
      <w:szCs w:val="21"/>
    </w:rPr>
  </w:style>
  <w:style w:type="paragraph" w:styleId="TOCHeading">
    <w:name w:val="TOC Heading"/>
    <w:basedOn w:val="Heading1"/>
    <w:next w:val="Normal"/>
    <w:uiPriority w:val="39"/>
    <w:unhideWhenUsed/>
    <w:qFormat/>
    <w:rsid w:val="00E4294B"/>
    <w:pPr>
      <w:keepNext/>
      <w:keepLines/>
      <w:numPr>
        <w:numId w:val="0"/>
      </w:numPr>
      <w:spacing w:before="240" w:after="0" w:line="259" w:lineRule="auto"/>
      <w:outlineLvl w:val="9"/>
    </w:pPr>
    <w:rPr>
      <w:rFonts w:eastAsiaTheme="majorEastAsia" w:cstheme="majorBidi"/>
      <w:color w:val="auto"/>
      <w:lang w:val="en-US"/>
      <w14:ligatures w14:val="none"/>
    </w:rPr>
  </w:style>
  <w:style w:type="paragraph" w:styleId="TOC1">
    <w:name w:val="toc 1"/>
    <w:basedOn w:val="Normal"/>
    <w:next w:val="Normal"/>
    <w:autoRedefine/>
    <w:uiPriority w:val="39"/>
    <w:unhideWhenUsed/>
    <w:rsid w:val="00E4294B"/>
    <w:pPr>
      <w:tabs>
        <w:tab w:val="left" w:pos="440"/>
        <w:tab w:val="right" w:leader="dot" w:pos="9016"/>
      </w:tabs>
      <w:spacing w:after="100"/>
    </w:pPr>
    <w:rPr>
      <w:rFonts w:ascii="Lato" w:hAnsi="Lato"/>
      <w:noProof/>
    </w:rPr>
  </w:style>
  <w:style w:type="paragraph" w:styleId="TOC2">
    <w:name w:val="toc 2"/>
    <w:basedOn w:val="Normal"/>
    <w:next w:val="Normal"/>
    <w:autoRedefine/>
    <w:uiPriority w:val="39"/>
    <w:unhideWhenUsed/>
    <w:rsid w:val="00E4294B"/>
    <w:pPr>
      <w:tabs>
        <w:tab w:val="left" w:pos="880"/>
        <w:tab w:val="right" w:leader="dot" w:pos="9016"/>
      </w:tabs>
      <w:spacing w:after="100"/>
      <w:ind w:left="220"/>
    </w:pPr>
    <w:rPr>
      <w:rFonts w:ascii="Lato" w:hAnsi="Lato"/>
      <w:noProof/>
    </w:rPr>
  </w:style>
  <w:style w:type="paragraph" w:styleId="TOC3">
    <w:name w:val="toc 3"/>
    <w:basedOn w:val="Normal"/>
    <w:next w:val="Normal"/>
    <w:autoRedefine/>
    <w:uiPriority w:val="39"/>
    <w:unhideWhenUsed/>
    <w:rsid w:val="00E4294B"/>
    <w:pPr>
      <w:tabs>
        <w:tab w:val="left" w:pos="1320"/>
        <w:tab w:val="right" w:leader="dot" w:pos="9016"/>
      </w:tabs>
      <w:spacing w:after="100"/>
      <w:ind w:left="440"/>
    </w:pPr>
    <w:rPr>
      <w:rFonts w:ascii="Lato" w:hAnsi="Lato"/>
      <w:noProof/>
    </w:rPr>
  </w:style>
  <w:style w:type="character" w:styleId="Hyperlink">
    <w:name w:val="Hyperlink"/>
    <w:basedOn w:val="DefaultParagraphFont"/>
    <w:uiPriority w:val="99"/>
    <w:unhideWhenUsed/>
    <w:rsid w:val="00527771"/>
    <w:rPr>
      <w:color w:val="0563C1" w:themeColor="hyperlink"/>
      <w:u w:val="single"/>
    </w:rPr>
  </w:style>
  <w:style w:type="table" w:styleId="TableGrid">
    <w:name w:val="Table Grid"/>
    <w:basedOn w:val="TableNormal"/>
    <w:uiPriority w:val="39"/>
    <w:rsid w:val="00C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sdair.reynolds\AppData\Roaming\Microsoft\Templates\REC%20General%20Word%20Doc%20-%20Portrait.dotx" TargetMode="External"/></Relationships>
</file>

<file path=word/theme/theme1.xml><?xml version="1.0" encoding="utf-8"?>
<a:theme xmlns:a="http://schemas.openxmlformats.org/drawingml/2006/main" name="Office Theme">
  <a:themeElements>
    <a:clrScheme name="REC brand colours">
      <a:dk1>
        <a:srgbClr val="0D133D"/>
      </a:dk1>
      <a:lt1>
        <a:srgbClr val="5974D4"/>
      </a:lt1>
      <a:dk2>
        <a:srgbClr val="36BEAE"/>
      </a:dk2>
      <a:lt2>
        <a:srgbClr val="8C66D4"/>
      </a:lt2>
      <a:accent1>
        <a:srgbClr val="FFC03E"/>
      </a:accent1>
      <a:accent2>
        <a:srgbClr val="FF68A7"/>
      </a:accent2>
      <a:accent3>
        <a:srgbClr val="FF595D"/>
      </a:accent3>
      <a:accent4>
        <a:srgbClr val="FFFFFF"/>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1D7B0-4743-4EB4-9CBC-B602C9FA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 General Word Doc - Portrait</Template>
  <TotalTime>21</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Clapham</dc:creator>
  <cp:keywords/>
  <dc:description/>
  <cp:lastModifiedBy>Alasdair Reynolds</cp:lastModifiedBy>
  <cp:revision>2</cp:revision>
  <dcterms:created xsi:type="dcterms:W3CDTF">2020-09-25T14:59:00Z</dcterms:created>
  <dcterms:modified xsi:type="dcterms:W3CDTF">2020-09-25T14:59:00Z</dcterms:modified>
</cp:coreProperties>
</file>