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FDEE7" w14:textId="5C1FF315" w:rsidR="00BB550A" w:rsidRPr="00580FA7" w:rsidRDefault="00BB550A" w:rsidP="00BB550A">
      <w:pPr>
        <w:pStyle w:val="Title"/>
      </w:pPr>
      <w:r>
        <w:t xml:space="preserve">Off-payroll rules </w:t>
      </w:r>
    </w:p>
    <w:p w14:paraId="3BC7EFFB" w14:textId="104E252D" w:rsidR="00BB550A" w:rsidRDefault="00BB550A" w:rsidP="00AF28FA">
      <w:pPr>
        <w:pStyle w:val="IntroductionTitle"/>
        <w:spacing w:before="600"/>
      </w:pPr>
      <w:bookmarkStart w:id="0" w:name="_Hlk25600892"/>
      <w:r w:rsidRPr="00BB550A">
        <w:t>Client status determination statemen</w:t>
      </w:r>
      <w:r w:rsidR="00197D91">
        <w:t>t</w:t>
      </w:r>
    </w:p>
    <w:tbl>
      <w:tblPr>
        <w:tblStyle w:val="RECtable1"/>
        <w:tblW w:w="0" w:type="auto"/>
        <w:tblLook w:val="0480" w:firstRow="0" w:lastRow="0" w:firstColumn="1" w:lastColumn="0" w:noHBand="0" w:noVBand="1"/>
      </w:tblPr>
      <w:tblGrid>
        <w:gridCol w:w="9016"/>
      </w:tblGrid>
      <w:tr w:rsidR="00AF28FA" w14:paraId="64C543F8" w14:textId="77777777" w:rsidTr="00AF28FA">
        <w:tc>
          <w:tcPr>
            <w:tcW w:w="9016" w:type="dxa"/>
          </w:tcPr>
          <w:p w14:paraId="35D54766" w14:textId="7C3484BB" w:rsidR="00AF28FA" w:rsidRDefault="00157A97" w:rsidP="00AF28FA">
            <w:pPr>
              <w:pStyle w:val="BodyText"/>
            </w:pPr>
            <w:r>
              <w:t>V</w:t>
            </w:r>
            <w:r w:rsidR="009B53A7">
              <w:t>3</w:t>
            </w:r>
            <w:r>
              <w:t xml:space="preserve"> </w:t>
            </w:r>
            <w:r w:rsidR="009B53A7">
              <w:t>March</w:t>
            </w:r>
            <w:r>
              <w:t xml:space="preserve"> </w:t>
            </w:r>
            <w:r w:rsidR="00AF28FA">
              <w:t>202</w:t>
            </w:r>
            <w:r w:rsidR="009B53A7">
              <w:t>1</w:t>
            </w:r>
          </w:p>
          <w:p w14:paraId="5220DD7C" w14:textId="77777777" w:rsidR="00AF28FA" w:rsidRDefault="00AF28FA" w:rsidP="00AF28FA">
            <w:pPr>
              <w:pStyle w:val="BodyText"/>
            </w:pPr>
          </w:p>
          <w:p w14:paraId="41C950B2" w14:textId="05D71D47" w:rsidR="00157A97" w:rsidRDefault="00157A97" w:rsidP="00AF28FA">
            <w:pPr>
              <w:pStyle w:val="BodyText"/>
            </w:pPr>
            <w:r>
              <w:t xml:space="preserve">About this form </w:t>
            </w:r>
            <w:r>
              <w:tab/>
            </w:r>
            <w:r>
              <w:tab/>
            </w:r>
            <w:r>
              <w:tab/>
            </w:r>
            <w:r>
              <w:tab/>
            </w:r>
            <w:r>
              <w:tab/>
            </w:r>
            <w:r>
              <w:tab/>
            </w:r>
            <w:r>
              <w:tab/>
            </w:r>
            <w:r>
              <w:tab/>
              <w:t>p1</w:t>
            </w:r>
          </w:p>
          <w:p w14:paraId="2BF22B4D" w14:textId="73118DE3" w:rsidR="00157A97" w:rsidRDefault="00157A97" w:rsidP="00AF28FA">
            <w:pPr>
              <w:pStyle w:val="BodyText"/>
            </w:pPr>
            <w:r>
              <w:t>When and why to use this form?</w:t>
            </w:r>
            <w:r>
              <w:tab/>
            </w:r>
            <w:r>
              <w:tab/>
            </w:r>
            <w:r>
              <w:tab/>
            </w:r>
            <w:r>
              <w:tab/>
            </w:r>
            <w:r>
              <w:tab/>
            </w:r>
            <w:r>
              <w:tab/>
              <w:t>p2</w:t>
            </w:r>
          </w:p>
          <w:p w14:paraId="0AF83C40" w14:textId="418F1177" w:rsidR="00157A97" w:rsidRDefault="00157A97" w:rsidP="00AF28FA">
            <w:pPr>
              <w:pStyle w:val="BodyText"/>
            </w:pPr>
            <w:r>
              <w:t>The client's status determination status</w:t>
            </w:r>
            <w:r>
              <w:tab/>
            </w:r>
            <w:r>
              <w:tab/>
            </w:r>
            <w:r>
              <w:tab/>
            </w:r>
            <w:r>
              <w:tab/>
            </w:r>
            <w:r>
              <w:tab/>
              <w:t>p2</w:t>
            </w:r>
          </w:p>
          <w:p w14:paraId="54140743" w14:textId="1B742FAA" w:rsidR="00DB1643" w:rsidRDefault="00DB1643" w:rsidP="00DB1643">
            <w:pPr>
              <w:pStyle w:val="BodyText"/>
            </w:pPr>
            <w:r>
              <w:t>Passing the SDS down the supply chain</w:t>
            </w:r>
            <w:r>
              <w:tab/>
            </w:r>
            <w:r>
              <w:tab/>
            </w:r>
            <w:r>
              <w:tab/>
            </w:r>
            <w:r>
              <w:tab/>
            </w:r>
            <w:r>
              <w:tab/>
              <w:t>p2</w:t>
            </w:r>
          </w:p>
          <w:p w14:paraId="5F3BB794" w14:textId="118027FB" w:rsidR="00DB1643" w:rsidRDefault="00DB1643" w:rsidP="00DB1643">
            <w:pPr>
              <w:pStyle w:val="BodyText"/>
            </w:pPr>
            <w:r>
              <w:t>Inside or Outside IR35?</w:t>
            </w:r>
            <w:r>
              <w:tab/>
            </w:r>
            <w:r>
              <w:tab/>
            </w:r>
            <w:r>
              <w:tab/>
            </w:r>
            <w:r>
              <w:tab/>
            </w:r>
            <w:r>
              <w:tab/>
            </w:r>
            <w:r>
              <w:tab/>
            </w:r>
            <w:r>
              <w:tab/>
              <w:t>p3</w:t>
            </w:r>
          </w:p>
          <w:p w14:paraId="073CDB77" w14:textId="18A3A041" w:rsidR="00157A97" w:rsidRDefault="00157A97" w:rsidP="00AF28FA">
            <w:pPr>
              <w:pStyle w:val="BodyText"/>
            </w:pPr>
            <w:r>
              <w:t>Disagreeing with the client's status determination</w:t>
            </w:r>
            <w:r>
              <w:tab/>
            </w:r>
            <w:r>
              <w:tab/>
            </w:r>
            <w:r>
              <w:tab/>
              <w:t>p</w:t>
            </w:r>
            <w:r w:rsidR="00DB1643">
              <w:t>4</w:t>
            </w:r>
          </w:p>
          <w:p w14:paraId="5DFE8AEF" w14:textId="1B7077B2" w:rsidR="00DB1643" w:rsidRDefault="00DB1643" w:rsidP="00DB1643">
            <w:pPr>
              <w:pStyle w:val="BodyText"/>
            </w:pPr>
            <w:r>
              <w:t>How to use this form</w:t>
            </w:r>
            <w:r>
              <w:tab/>
            </w:r>
            <w:r>
              <w:tab/>
            </w:r>
            <w:r>
              <w:tab/>
            </w:r>
            <w:r>
              <w:tab/>
            </w:r>
            <w:r>
              <w:tab/>
            </w:r>
            <w:r>
              <w:tab/>
            </w:r>
            <w:r>
              <w:tab/>
              <w:t>p4</w:t>
            </w:r>
          </w:p>
          <w:p w14:paraId="5CACAF96" w14:textId="2B5F8DB3" w:rsidR="00310C94" w:rsidRDefault="00310C94" w:rsidP="00AF28FA">
            <w:pPr>
              <w:pStyle w:val="BodyText"/>
            </w:pPr>
          </w:p>
          <w:p w14:paraId="160BFBBD" w14:textId="0BCBD7A2" w:rsidR="00AF28FA" w:rsidRDefault="00AF28FA" w:rsidP="00AF28FA">
            <w:pPr>
              <w:pStyle w:val="BodyText"/>
            </w:pPr>
            <w:r>
              <w:t xml:space="preserve">Status determination statement </w:t>
            </w:r>
            <w:r>
              <w:tab/>
            </w:r>
            <w:r>
              <w:tab/>
            </w:r>
            <w:r>
              <w:tab/>
            </w:r>
            <w:r>
              <w:tab/>
            </w:r>
            <w:r>
              <w:tab/>
            </w:r>
            <w:r>
              <w:tab/>
            </w:r>
            <w:r w:rsidRPr="00671936">
              <w:t>p</w:t>
            </w:r>
            <w:r w:rsidR="00DB1643">
              <w:t>5</w:t>
            </w:r>
            <w:r w:rsidRPr="00671936">
              <w:t xml:space="preserve"> </w:t>
            </w:r>
          </w:p>
        </w:tc>
      </w:tr>
    </w:tbl>
    <w:p w14:paraId="3EA9F363" w14:textId="77777777" w:rsidR="00BB550A" w:rsidRPr="00BB550A" w:rsidRDefault="00BB550A" w:rsidP="00BB550A">
      <w:pPr>
        <w:pStyle w:val="IntroductionParagraph"/>
        <w:ind w:left="0"/>
        <w:rPr>
          <w:lang w:val="en-GB"/>
        </w:rPr>
      </w:pPr>
    </w:p>
    <w:p w14:paraId="1BBDFA06" w14:textId="72EA658A" w:rsidR="00884D77" w:rsidRPr="00884D77" w:rsidRDefault="0072396C" w:rsidP="00B601AA">
      <w:pPr>
        <w:pStyle w:val="Heading2"/>
        <w:numPr>
          <w:ilvl w:val="0"/>
          <w:numId w:val="0"/>
        </w:numPr>
        <w:spacing w:before="0" w:after="0"/>
        <w:ind w:left="576" w:hanging="576"/>
      </w:pPr>
      <w:r>
        <w:t xml:space="preserve">About this </w:t>
      </w:r>
      <w:r w:rsidR="00CD5206">
        <w:t>form</w:t>
      </w:r>
    </w:p>
    <w:p w14:paraId="622D8368" w14:textId="77777777" w:rsidR="00884D77" w:rsidRPr="00884D77" w:rsidRDefault="00884D77">
      <w:pPr>
        <w:pStyle w:val="BodyText"/>
      </w:pPr>
    </w:p>
    <w:p w14:paraId="36035872" w14:textId="4814A269" w:rsidR="007D4470" w:rsidRPr="006F04FF" w:rsidRDefault="00067F48">
      <w:pPr>
        <w:pStyle w:val="BodyText"/>
      </w:pPr>
      <w:r>
        <w:t>T</w:t>
      </w:r>
      <w:r w:rsidR="00884D77" w:rsidRPr="00884D77">
        <w:t>he off-payroll rules</w:t>
      </w:r>
      <w:r>
        <w:t xml:space="preserve"> </w:t>
      </w:r>
      <w:r w:rsidR="006F04FF">
        <w:t xml:space="preserve">have applied in the public sector since 6 April 2017.  The rules </w:t>
      </w:r>
      <w:r>
        <w:t xml:space="preserve">will be extended </w:t>
      </w:r>
      <w:r w:rsidR="00884D77" w:rsidRPr="00884D77">
        <w:t xml:space="preserve">into the private sector </w:t>
      </w:r>
      <w:r w:rsidR="00310C94">
        <w:t>on</w:t>
      </w:r>
      <w:r w:rsidR="00310C94" w:rsidRPr="00884D77">
        <w:t xml:space="preserve"> </w:t>
      </w:r>
      <w:r w:rsidR="00884D77" w:rsidRPr="00B601AA">
        <w:rPr>
          <w:b/>
          <w:bCs/>
          <w:color w:val="002060"/>
        </w:rPr>
        <w:t>6 April 202</w:t>
      </w:r>
      <w:r w:rsidRPr="00B601AA">
        <w:rPr>
          <w:b/>
          <w:bCs/>
          <w:color w:val="002060"/>
        </w:rPr>
        <w:t>1</w:t>
      </w:r>
      <w:r w:rsidR="00884D77" w:rsidRPr="00884D77">
        <w:t xml:space="preserve">. </w:t>
      </w:r>
      <w:r>
        <w:t xml:space="preserve"> </w:t>
      </w:r>
      <w:r w:rsidR="00157A97">
        <w:t>C</w:t>
      </w:r>
      <w:r>
        <w:t xml:space="preserve">lients who </w:t>
      </w:r>
      <w:r w:rsidR="00310C94">
        <w:t xml:space="preserve">must comply with </w:t>
      </w:r>
      <w:r>
        <w:t xml:space="preserve">the rules, </w:t>
      </w:r>
      <w:r w:rsidR="00310C94">
        <w:t xml:space="preserve">must </w:t>
      </w:r>
      <w:r>
        <w:t xml:space="preserve">determine the tax status of all engagements where services are provided by an individual working through an intermediary such as a personal services company (PSC). </w:t>
      </w:r>
    </w:p>
    <w:p w14:paraId="182A28E0" w14:textId="77777777" w:rsidR="006F04FF" w:rsidRPr="00A664EC" w:rsidRDefault="00884D77" w:rsidP="006F04FF">
      <w:pPr>
        <w:pStyle w:val="NormalWeb"/>
        <w:shd w:val="clear" w:color="auto" w:fill="FFFFFF"/>
        <w:spacing w:before="300" w:after="300"/>
        <w:rPr>
          <w:rFonts w:ascii="Lato" w:hAnsi="Lato" w:cs="Arial"/>
          <w:color w:val="0B0C0C"/>
          <w:sz w:val="20"/>
          <w:szCs w:val="20"/>
        </w:rPr>
      </w:pPr>
      <w:r w:rsidRPr="00A664EC">
        <w:rPr>
          <w:rFonts w:ascii="Lato" w:hAnsi="Lato"/>
          <w:sz w:val="20"/>
          <w:szCs w:val="20"/>
        </w:rPr>
        <w:t xml:space="preserve">Though the rules will not apply </w:t>
      </w:r>
      <w:r w:rsidR="006F04FF" w:rsidRPr="00A664EC">
        <w:rPr>
          <w:rFonts w:ascii="Lato" w:hAnsi="Lato"/>
          <w:sz w:val="20"/>
          <w:szCs w:val="20"/>
        </w:rPr>
        <w:t xml:space="preserve">in the private sector </w:t>
      </w:r>
      <w:r w:rsidRPr="00A664EC">
        <w:rPr>
          <w:rFonts w:ascii="Lato" w:hAnsi="Lato"/>
          <w:sz w:val="20"/>
          <w:szCs w:val="20"/>
        </w:rPr>
        <w:t>until 6 April 202</w:t>
      </w:r>
      <w:r w:rsidR="00067F48" w:rsidRPr="00A664EC">
        <w:rPr>
          <w:rFonts w:ascii="Lato" w:hAnsi="Lato"/>
          <w:sz w:val="20"/>
          <w:szCs w:val="20"/>
        </w:rPr>
        <w:t>1</w:t>
      </w:r>
      <w:r w:rsidRPr="00A664EC">
        <w:rPr>
          <w:rFonts w:ascii="Lato" w:hAnsi="Lato"/>
          <w:sz w:val="20"/>
          <w:szCs w:val="20"/>
        </w:rPr>
        <w:t xml:space="preserve">, </w:t>
      </w:r>
      <w:r w:rsidR="00067F48" w:rsidRPr="00A664EC">
        <w:rPr>
          <w:rFonts w:ascii="Lato" w:hAnsi="Lato"/>
          <w:sz w:val="20"/>
          <w:szCs w:val="20"/>
        </w:rPr>
        <w:t xml:space="preserve">agencies, </w:t>
      </w:r>
      <w:r w:rsidR="006F04FF" w:rsidRPr="00A664EC">
        <w:rPr>
          <w:rFonts w:ascii="Lato" w:hAnsi="Lato"/>
          <w:sz w:val="20"/>
          <w:szCs w:val="20"/>
        </w:rPr>
        <w:t xml:space="preserve">private sector </w:t>
      </w:r>
      <w:r w:rsidRPr="00A664EC">
        <w:rPr>
          <w:rFonts w:ascii="Lato" w:hAnsi="Lato"/>
          <w:sz w:val="20"/>
          <w:szCs w:val="20"/>
        </w:rPr>
        <w:t xml:space="preserve">clients </w:t>
      </w:r>
      <w:r w:rsidR="00067F48" w:rsidRPr="00A664EC">
        <w:rPr>
          <w:rFonts w:ascii="Lato" w:hAnsi="Lato"/>
          <w:sz w:val="20"/>
          <w:szCs w:val="20"/>
        </w:rPr>
        <w:t>and contractors will want to know the status of engagements before that date. This is so that they know their respective obligations and the pay</w:t>
      </w:r>
      <w:r w:rsidR="00674C2E" w:rsidRPr="00A664EC">
        <w:rPr>
          <w:rFonts w:ascii="Lato" w:hAnsi="Lato"/>
          <w:sz w:val="20"/>
          <w:szCs w:val="20"/>
        </w:rPr>
        <w:t xml:space="preserve"> and</w:t>
      </w:r>
      <w:r w:rsidR="00067F48" w:rsidRPr="00A664EC">
        <w:rPr>
          <w:rFonts w:ascii="Lato" w:hAnsi="Lato"/>
          <w:sz w:val="20"/>
          <w:szCs w:val="20"/>
        </w:rPr>
        <w:t xml:space="preserve"> charge rate</w:t>
      </w:r>
      <w:r w:rsidR="00674C2E" w:rsidRPr="00A664EC">
        <w:rPr>
          <w:rFonts w:ascii="Lato" w:hAnsi="Lato"/>
          <w:sz w:val="20"/>
          <w:szCs w:val="20"/>
        </w:rPr>
        <w:t>s</w:t>
      </w:r>
      <w:r w:rsidR="00067F48" w:rsidRPr="00A664EC">
        <w:rPr>
          <w:rFonts w:ascii="Lato" w:hAnsi="Lato"/>
          <w:sz w:val="20"/>
          <w:szCs w:val="20"/>
        </w:rPr>
        <w:t xml:space="preserve"> for the engagement. </w:t>
      </w:r>
      <w:r w:rsidR="00157A97" w:rsidRPr="00A664EC">
        <w:rPr>
          <w:rFonts w:ascii="Lato" w:hAnsi="Lato"/>
          <w:sz w:val="20"/>
          <w:szCs w:val="20"/>
        </w:rPr>
        <w:t xml:space="preserve"> HMRC state that '</w:t>
      </w:r>
    </w:p>
    <w:p w14:paraId="22C77B11" w14:textId="1A75179B" w:rsidR="00067F48" w:rsidRPr="006F04FF" w:rsidRDefault="006F04FF" w:rsidP="00A664EC">
      <w:pPr>
        <w:pStyle w:val="NormalWeb"/>
        <w:shd w:val="clear" w:color="auto" w:fill="FFFFFF"/>
        <w:spacing w:before="300" w:beforeAutospacing="0" w:after="300" w:afterAutospacing="0"/>
        <w:ind w:left="720"/>
        <w:rPr>
          <w:rFonts w:ascii="Lato" w:hAnsi="Lato"/>
          <w:sz w:val="20"/>
          <w:szCs w:val="20"/>
        </w:rPr>
      </w:pPr>
      <w:r>
        <w:rPr>
          <w:rFonts w:ascii="Lato" w:hAnsi="Lato" w:cs="Arial"/>
          <w:i/>
          <w:iCs/>
          <w:color w:val="0B0C0C"/>
          <w:sz w:val="20"/>
          <w:szCs w:val="20"/>
        </w:rPr>
        <w:t>"</w:t>
      </w:r>
      <w:r w:rsidRPr="00A664EC">
        <w:rPr>
          <w:rFonts w:ascii="Lato" w:hAnsi="Lato" w:cs="Arial"/>
          <w:i/>
          <w:iCs/>
          <w:color w:val="0B0C0C"/>
          <w:sz w:val="20"/>
          <w:szCs w:val="20"/>
        </w:rPr>
        <w:t>Status determinations made prior to 6 April 2021 can be a valid SDS for engagements carrying on after 6 April 2021, providing they meet the legislative requirements. A SDS must include the reason for reaching the conclusion and have been passed to the worker and any third party the client contracts with.</w:t>
      </w:r>
      <w:r>
        <w:rPr>
          <w:rFonts w:ascii="Lato" w:hAnsi="Lato" w:cs="Arial"/>
          <w:i/>
          <w:iCs/>
          <w:color w:val="0B0C0C"/>
          <w:sz w:val="20"/>
          <w:szCs w:val="20"/>
        </w:rPr>
        <w:t xml:space="preserve">" </w:t>
      </w:r>
      <w:r w:rsidR="00157A97" w:rsidRPr="00A664EC">
        <w:rPr>
          <w:rFonts w:ascii="Lato" w:hAnsi="Lato" w:cs="Arial"/>
          <w:color w:val="0B0C0C"/>
          <w:sz w:val="20"/>
          <w:szCs w:val="20"/>
          <w:shd w:val="clear" w:color="auto" w:fill="FFFFFF"/>
        </w:rPr>
        <w:t xml:space="preserve"> (</w:t>
      </w:r>
      <w:hyperlink r:id="rId8" w:history="1">
        <w:r w:rsidR="00157A97" w:rsidRPr="006F04FF">
          <w:rPr>
            <w:rStyle w:val="Hyperlink"/>
            <w:rFonts w:ascii="Lato" w:hAnsi="Lato" w:cs="Arial"/>
            <w:color w:val="36BEAE" w:themeColor="text2"/>
            <w:sz w:val="20"/>
            <w:szCs w:val="20"/>
            <w:shd w:val="clear" w:color="auto" w:fill="FFFFFF"/>
          </w:rPr>
          <w:t>ESM 10013</w:t>
        </w:r>
      </w:hyperlink>
      <w:r w:rsidR="00157A97" w:rsidRPr="006F04FF">
        <w:rPr>
          <w:rFonts w:ascii="Lato" w:hAnsi="Lato" w:cs="Arial"/>
          <w:color w:val="0B0C0C"/>
          <w:sz w:val="20"/>
          <w:szCs w:val="20"/>
          <w:shd w:val="clear" w:color="auto" w:fill="FFFFFF"/>
        </w:rPr>
        <w:t>)</w:t>
      </w:r>
      <w:r>
        <w:rPr>
          <w:rFonts w:ascii="Lato" w:hAnsi="Lato" w:cs="Arial"/>
          <w:color w:val="0B0C0C"/>
          <w:sz w:val="20"/>
          <w:szCs w:val="20"/>
          <w:shd w:val="clear" w:color="auto" w:fill="FFFFFF"/>
        </w:rPr>
        <w:t xml:space="preserve"> </w:t>
      </w:r>
    </w:p>
    <w:p w14:paraId="1B7DF478" w14:textId="3655C936" w:rsidR="004040C1" w:rsidRDefault="00067F48">
      <w:pPr>
        <w:pStyle w:val="BodyText"/>
      </w:pPr>
      <w:r>
        <w:t xml:space="preserve">We originally </w:t>
      </w:r>
      <w:r w:rsidR="00884D77" w:rsidRPr="00884D77">
        <w:t>release</w:t>
      </w:r>
      <w:r>
        <w:t xml:space="preserve">d </w:t>
      </w:r>
      <w:r w:rsidR="00884D77" w:rsidRPr="00884D77">
        <w:t xml:space="preserve">this template statement </w:t>
      </w:r>
      <w:r>
        <w:t>in February 2020 in anticipation of the changes which were scheduled to take effect on 6 April 2020.  But</w:t>
      </w:r>
      <w:r w:rsidR="00890561">
        <w:t xml:space="preserve"> </w:t>
      </w:r>
      <w:r w:rsidR="00981416">
        <w:t>in March</w:t>
      </w:r>
      <w:r>
        <w:t xml:space="preserve"> the government delayed the changes until 2021.  We now have the final legislation and so ha</w:t>
      </w:r>
      <w:r w:rsidR="00890561">
        <w:t>ve updated th</w:t>
      </w:r>
      <w:r w:rsidR="004040C1">
        <w:t xml:space="preserve">is form. </w:t>
      </w:r>
      <w:r w:rsidR="00884D77" w:rsidRPr="00884D77">
        <w:t xml:space="preserve">You can find more information on the off-payroll rules from the REC’s </w:t>
      </w:r>
      <w:hyperlink r:id="rId9" w:history="1">
        <w:r w:rsidR="00884D77" w:rsidRPr="00B601AA">
          <w:rPr>
            <w:rStyle w:val="Hyperlink"/>
            <w:color w:val="36BEAE" w:themeColor="text2"/>
          </w:rPr>
          <w:t>IR35 hub</w:t>
        </w:r>
      </w:hyperlink>
      <w:r w:rsidR="00884D77" w:rsidRPr="00884D77">
        <w:t>.</w:t>
      </w:r>
      <w:r w:rsidR="00674C2E">
        <w:t xml:space="preserve">  </w:t>
      </w:r>
    </w:p>
    <w:p w14:paraId="2587A510" w14:textId="77777777" w:rsidR="004040C1" w:rsidRDefault="004040C1">
      <w:pPr>
        <w:pStyle w:val="BodyText"/>
      </w:pPr>
    </w:p>
    <w:p w14:paraId="6E22E628" w14:textId="4A18692C" w:rsidR="00884D77" w:rsidRPr="004040C1" w:rsidRDefault="00674C2E">
      <w:pPr>
        <w:pStyle w:val="BodyText"/>
      </w:pPr>
      <w:r>
        <w:t xml:space="preserve">Throughout the guidance notes we includes various hyperlinks, </w:t>
      </w:r>
      <w:r w:rsidR="00890561">
        <w:t>i</w:t>
      </w:r>
      <w:r>
        <w:t>ncluding  HMRC's Employment Status Manual</w:t>
      </w:r>
      <w:r w:rsidR="00890561">
        <w:t xml:space="preserve"> (ESM)</w:t>
      </w:r>
      <w:r>
        <w:t xml:space="preserve"> -</w:t>
      </w:r>
      <w:r w:rsidR="00890561">
        <w:t xml:space="preserve"> this is HMRC's internal guidance on employment status, including IR35. </w:t>
      </w:r>
      <w:r w:rsidR="006F04FF">
        <w:t xml:space="preserve"> Whilst the ESM is not the law, it is useful to understand how HMRC will apply the rules.</w:t>
      </w:r>
    </w:p>
    <w:p w14:paraId="4BE47AD3" w14:textId="36EE59DE" w:rsidR="00884D77" w:rsidRDefault="00884D77" w:rsidP="00CD5206">
      <w:pPr>
        <w:pStyle w:val="BodyText"/>
      </w:pPr>
    </w:p>
    <w:p w14:paraId="70FA5B35" w14:textId="77777777" w:rsidR="00890561" w:rsidRPr="00884D77" w:rsidRDefault="00890561">
      <w:pPr>
        <w:pStyle w:val="BodyText"/>
      </w:pPr>
    </w:p>
    <w:p w14:paraId="1195ECE4" w14:textId="77777777" w:rsidR="00157A97" w:rsidRDefault="00157A97">
      <w:pPr>
        <w:rPr>
          <w:rFonts w:ascii="Lato" w:hAnsi="Lato"/>
          <w:color w:val="5974D4"/>
          <w:sz w:val="28"/>
          <w:szCs w:val="32"/>
          <w14:ligatures w14:val="standard"/>
        </w:rPr>
      </w:pPr>
      <w:r>
        <w:br w:type="page"/>
      </w:r>
    </w:p>
    <w:p w14:paraId="458257C1" w14:textId="341B2CE4" w:rsidR="00761BD2" w:rsidRPr="00884D77" w:rsidRDefault="00761BD2" w:rsidP="00B601AA">
      <w:pPr>
        <w:pStyle w:val="Heading2"/>
        <w:numPr>
          <w:ilvl w:val="0"/>
          <w:numId w:val="0"/>
        </w:numPr>
        <w:spacing w:before="0" w:after="0"/>
        <w:ind w:left="576" w:hanging="576"/>
      </w:pPr>
      <w:r w:rsidRPr="00884D77">
        <w:lastRenderedPageBreak/>
        <w:t>Wh</w:t>
      </w:r>
      <w:r>
        <w:t xml:space="preserve">en and why </w:t>
      </w:r>
      <w:r w:rsidRPr="00884D77">
        <w:t>use this form?</w:t>
      </w:r>
    </w:p>
    <w:p w14:paraId="60B4FC9D" w14:textId="77777777" w:rsidR="00884D77" w:rsidRPr="00884D77" w:rsidRDefault="00884D77">
      <w:pPr>
        <w:pStyle w:val="BodyText"/>
      </w:pPr>
    </w:p>
    <w:p w14:paraId="1A4BFAD0" w14:textId="771BE539" w:rsidR="00884D77" w:rsidRDefault="00884D77">
      <w:pPr>
        <w:pStyle w:val="BodyText"/>
      </w:pPr>
      <w:r w:rsidRPr="00884D77">
        <w:t>From 6 April 202</w:t>
      </w:r>
      <w:r w:rsidR="00CD5206">
        <w:t>1</w:t>
      </w:r>
      <w:r w:rsidR="008A747D">
        <w:t>,</w:t>
      </w:r>
      <w:r w:rsidRPr="00884D77">
        <w:t xml:space="preserve"> the off-payroll rules will apply when: </w:t>
      </w:r>
    </w:p>
    <w:p w14:paraId="0435ADC0" w14:textId="77777777" w:rsidR="00310C94" w:rsidRPr="00884D77" w:rsidRDefault="00310C94">
      <w:pPr>
        <w:pStyle w:val="BodyText"/>
      </w:pPr>
    </w:p>
    <w:p w14:paraId="6FE1C6FD" w14:textId="0708D6C3" w:rsidR="00884D77" w:rsidRPr="00884D77" w:rsidRDefault="00884D77" w:rsidP="00A664EC">
      <w:pPr>
        <w:pStyle w:val="BodyText"/>
        <w:numPr>
          <w:ilvl w:val="0"/>
          <w:numId w:val="14"/>
        </w:numPr>
      </w:pPr>
      <w:r w:rsidRPr="00884D77">
        <w:t xml:space="preserve">Supplying temporary workers who work through an intermediary such as a PSC </w:t>
      </w:r>
      <w:r w:rsidRPr="00884D77">
        <w:rPr>
          <w:vertAlign w:val="superscript"/>
        </w:rPr>
        <w:footnoteReference w:id="1"/>
      </w:r>
      <w:r w:rsidRPr="00884D77">
        <w:t>, referred to as an ‘off-payroll worker’ in the rest of this document; and</w:t>
      </w:r>
    </w:p>
    <w:p w14:paraId="439BD86A" w14:textId="3205423E" w:rsidR="00884D77" w:rsidRPr="00884D77" w:rsidRDefault="00884D77" w:rsidP="00A664EC">
      <w:pPr>
        <w:pStyle w:val="BodyText"/>
        <w:numPr>
          <w:ilvl w:val="0"/>
          <w:numId w:val="14"/>
        </w:numPr>
      </w:pPr>
      <w:r w:rsidRPr="00884D77">
        <w:t xml:space="preserve">The client </w:t>
      </w:r>
      <w:r w:rsidR="00CD5206">
        <w:t xml:space="preserve"> is (a) </w:t>
      </w:r>
      <w:r w:rsidR="00CD5206" w:rsidRPr="00027547">
        <w:t xml:space="preserve">a public authority </w:t>
      </w:r>
      <w:r w:rsidR="004040C1">
        <w:t xml:space="preserve">(already in effect since 6 April 2017) </w:t>
      </w:r>
      <w:r w:rsidR="00CD5206" w:rsidRPr="00027547">
        <w:t>or</w:t>
      </w:r>
      <w:r w:rsidR="00CD5206">
        <w:t xml:space="preserve">, (b) </w:t>
      </w:r>
      <w:r w:rsidR="00CD5206" w:rsidRPr="00027547">
        <w:t>a medium or large organisation</w:t>
      </w:r>
      <w:r w:rsidR="00CD5206">
        <w:t xml:space="preserve"> or (c) not an overseas company</w:t>
      </w:r>
      <w:r w:rsidRPr="00884D77">
        <w:t>.</w:t>
      </w:r>
    </w:p>
    <w:p w14:paraId="4CCA21C4" w14:textId="77777777" w:rsidR="00884D77" w:rsidRPr="00884D77" w:rsidRDefault="00884D77">
      <w:pPr>
        <w:pStyle w:val="BodyText"/>
      </w:pPr>
    </w:p>
    <w:p w14:paraId="2EA30F77" w14:textId="16A64E5E" w:rsidR="00310C94" w:rsidRPr="00981416" w:rsidRDefault="00310C94" w:rsidP="004040C1">
      <w:pPr>
        <w:spacing w:after="0" w:line="240" w:lineRule="auto"/>
        <w:rPr>
          <w:rFonts w:ascii="Lato" w:hAnsi="Lato"/>
          <w:sz w:val="20"/>
          <w:szCs w:val="20"/>
        </w:rPr>
      </w:pPr>
      <w:r w:rsidRPr="00981416">
        <w:rPr>
          <w:rFonts w:ascii="Lato" w:hAnsi="Lato"/>
          <w:sz w:val="20"/>
          <w:szCs w:val="20"/>
        </w:rPr>
        <w:t xml:space="preserve">Where the client is exempt it does not have to make a </w:t>
      </w:r>
      <w:r w:rsidR="004040C1" w:rsidRPr="00981416">
        <w:rPr>
          <w:rFonts w:ascii="Lato" w:hAnsi="Lato"/>
          <w:sz w:val="20"/>
          <w:szCs w:val="20"/>
        </w:rPr>
        <w:t xml:space="preserve">tax status decision </w:t>
      </w:r>
      <w:r w:rsidRPr="00981416">
        <w:rPr>
          <w:rFonts w:ascii="Lato" w:hAnsi="Lato"/>
          <w:sz w:val="20"/>
          <w:szCs w:val="20"/>
        </w:rPr>
        <w:t xml:space="preserve">and the employment business will not have to deduct tax and NICs before paying the PSC. Instead, the PSC must continue to apply the existing IR35 rules set out in Part 2, Chapter 8 </w:t>
      </w:r>
      <w:r w:rsidR="00981416" w:rsidRPr="00981416">
        <w:rPr>
          <w:rFonts w:ascii="Lato" w:hAnsi="Lato"/>
          <w:sz w:val="20"/>
          <w:szCs w:val="20"/>
        </w:rPr>
        <w:t>Income Tax (Earnings and Pensions) Act 2003 (</w:t>
      </w:r>
      <w:r w:rsidRPr="00981416">
        <w:rPr>
          <w:rFonts w:ascii="Lato" w:hAnsi="Lato"/>
          <w:sz w:val="20"/>
          <w:szCs w:val="20"/>
        </w:rPr>
        <w:t>ITEPA</w:t>
      </w:r>
      <w:r w:rsidR="00981416" w:rsidRPr="00981416">
        <w:rPr>
          <w:rFonts w:ascii="Lato" w:hAnsi="Lato"/>
          <w:sz w:val="20"/>
          <w:szCs w:val="20"/>
        </w:rPr>
        <w:t>)</w:t>
      </w:r>
      <w:r w:rsidRPr="00981416">
        <w:rPr>
          <w:rFonts w:ascii="Lato" w:hAnsi="Lato"/>
          <w:sz w:val="20"/>
          <w:szCs w:val="20"/>
        </w:rPr>
        <w:t xml:space="preserve">. </w:t>
      </w:r>
    </w:p>
    <w:p w14:paraId="409518A1" w14:textId="77777777" w:rsidR="00310C94" w:rsidRDefault="00310C94" w:rsidP="00310C94">
      <w:pPr>
        <w:spacing w:after="0" w:line="240" w:lineRule="auto"/>
        <w:rPr>
          <w:rFonts w:ascii="Lato" w:hAnsi="Lato"/>
          <w:sz w:val="20"/>
          <w:szCs w:val="20"/>
        </w:rPr>
      </w:pPr>
    </w:p>
    <w:p w14:paraId="32DEAE82" w14:textId="77777777" w:rsidR="00310C94" w:rsidRDefault="00310C94" w:rsidP="00310C94">
      <w:pPr>
        <w:spacing w:after="0" w:line="240" w:lineRule="auto"/>
        <w:rPr>
          <w:rFonts w:ascii="Lato" w:hAnsi="Lato"/>
          <w:b/>
          <w:bCs/>
          <w:color w:val="002060"/>
          <w:sz w:val="20"/>
          <w:szCs w:val="20"/>
        </w:rPr>
      </w:pPr>
      <w:r w:rsidRPr="00015F9D">
        <w:rPr>
          <w:rFonts w:ascii="Lato" w:hAnsi="Lato"/>
          <w:b/>
          <w:bCs/>
          <w:color w:val="002060"/>
          <w:sz w:val="20"/>
          <w:szCs w:val="20"/>
        </w:rPr>
        <w:t xml:space="preserve">So, it is crucial that the employment business knows whether a client is exempt or not. </w:t>
      </w:r>
    </w:p>
    <w:p w14:paraId="23D978C9" w14:textId="77777777" w:rsidR="00310C94" w:rsidRDefault="00310C94" w:rsidP="00310C94">
      <w:pPr>
        <w:spacing w:after="0" w:line="240" w:lineRule="auto"/>
        <w:rPr>
          <w:rFonts w:ascii="Lato" w:hAnsi="Lato"/>
          <w:b/>
          <w:bCs/>
          <w:color w:val="002060"/>
          <w:sz w:val="20"/>
          <w:szCs w:val="20"/>
        </w:rPr>
      </w:pPr>
    </w:p>
    <w:p w14:paraId="68FB7C67" w14:textId="77777777" w:rsidR="00310C94" w:rsidRPr="00773022" w:rsidRDefault="00310C94" w:rsidP="00310C94">
      <w:pPr>
        <w:spacing w:after="0" w:line="240" w:lineRule="auto"/>
        <w:rPr>
          <w:rFonts w:ascii="Lato" w:hAnsi="Lato"/>
          <w:sz w:val="20"/>
          <w:szCs w:val="20"/>
        </w:rPr>
      </w:pPr>
      <w:r w:rsidRPr="00773022">
        <w:rPr>
          <w:rFonts w:ascii="Lato" w:hAnsi="Lato"/>
          <w:sz w:val="20"/>
          <w:szCs w:val="20"/>
        </w:rPr>
        <w:t xml:space="preserve">You can ask a client to complete the </w:t>
      </w:r>
      <w:hyperlink r:id="rId10" w:history="1">
        <w:r w:rsidRPr="00773022">
          <w:rPr>
            <w:rStyle w:val="Hyperlink"/>
            <w:rFonts w:ascii="Lato" w:hAnsi="Lato"/>
            <w:color w:val="36BEAE" w:themeColor="text2"/>
            <w:sz w:val="20"/>
            <w:szCs w:val="20"/>
          </w:rPr>
          <w:t>exempt client declaration form</w:t>
        </w:r>
      </w:hyperlink>
      <w:r w:rsidRPr="00773022">
        <w:rPr>
          <w:rFonts w:ascii="Lato" w:hAnsi="Lato"/>
          <w:sz w:val="20"/>
          <w:szCs w:val="20"/>
        </w:rPr>
        <w:t xml:space="preserve"> to confirm if it is exempt. </w:t>
      </w:r>
    </w:p>
    <w:p w14:paraId="12E05CE7" w14:textId="77777777" w:rsidR="00310C94" w:rsidRPr="00015F9D" w:rsidRDefault="00310C94" w:rsidP="00310C94">
      <w:pPr>
        <w:spacing w:after="0" w:line="240" w:lineRule="auto"/>
        <w:rPr>
          <w:rFonts w:ascii="Lato" w:hAnsi="Lato"/>
          <w:b/>
          <w:bCs/>
          <w:sz w:val="20"/>
          <w:szCs w:val="20"/>
        </w:rPr>
      </w:pPr>
    </w:p>
    <w:p w14:paraId="4458C975" w14:textId="25AE2293" w:rsidR="00310C94" w:rsidRDefault="00310C94" w:rsidP="00310C94">
      <w:pPr>
        <w:pStyle w:val="BodyText"/>
      </w:pPr>
      <w:r w:rsidRPr="00773022">
        <w:rPr>
          <w:i/>
          <w:iCs/>
          <w:color w:val="5974D4" w:themeColor="background1"/>
        </w:rPr>
        <w:t>Changes in a client's status</w:t>
      </w:r>
      <w:r>
        <w:t xml:space="preserve"> - </w:t>
      </w:r>
      <w:r w:rsidRPr="00884D77">
        <w:t xml:space="preserve">If the client provides an SDS because it is a public authority, medium or large organisation, but later becomes exempt because its own status changes, the client must withdraw the SDS.  </w:t>
      </w:r>
      <w:r w:rsidR="004040C1">
        <w:t>T</w:t>
      </w:r>
      <w:r w:rsidRPr="00884D77">
        <w:t xml:space="preserve">he off-payroll rules </w:t>
      </w:r>
      <w:r w:rsidR="004040C1">
        <w:t xml:space="preserve">will no longer </w:t>
      </w:r>
      <w:r w:rsidRPr="00884D77">
        <w:t>apply and the intermediary</w:t>
      </w:r>
      <w:r>
        <w:t>,</w:t>
      </w:r>
      <w:r w:rsidRPr="00884D77">
        <w:t xml:space="preserve"> i.e. PSC, must apply the IR35 rules set out in Chapter 8 ITEPA. </w:t>
      </w:r>
      <w:r w:rsidRPr="00884D77">
        <w:rPr>
          <w:vertAlign w:val="superscript"/>
        </w:rPr>
        <w:footnoteReference w:id="2"/>
      </w:r>
    </w:p>
    <w:p w14:paraId="2F352E21" w14:textId="77777777" w:rsidR="00DB1643" w:rsidRPr="00884D77" w:rsidRDefault="00DB1643" w:rsidP="00310C94">
      <w:pPr>
        <w:pStyle w:val="BodyText"/>
      </w:pPr>
    </w:p>
    <w:p w14:paraId="3DA412E1" w14:textId="77777777" w:rsidR="00DB1643" w:rsidRPr="00884D77" w:rsidRDefault="00DB1643" w:rsidP="00DB1643">
      <w:pPr>
        <w:pStyle w:val="Heading2"/>
        <w:numPr>
          <w:ilvl w:val="0"/>
          <w:numId w:val="0"/>
        </w:numPr>
        <w:spacing w:before="0" w:after="0"/>
        <w:ind w:left="576" w:hanging="576"/>
        <w:rPr>
          <w:b/>
        </w:rPr>
      </w:pPr>
      <w:r w:rsidRPr="00884D77">
        <w:t>The client's status determination statement</w:t>
      </w:r>
    </w:p>
    <w:p w14:paraId="637FEC96" w14:textId="77777777" w:rsidR="00DB1643" w:rsidRDefault="00DB1643">
      <w:pPr>
        <w:pStyle w:val="BodyText"/>
      </w:pPr>
    </w:p>
    <w:p w14:paraId="017E2C15" w14:textId="630C40E7" w:rsidR="00884D77" w:rsidRDefault="00884D77">
      <w:pPr>
        <w:pStyle w:val="BodyText"/>
      </w:pPr>
      <w:r w:rsidRPr="00884D77">
        <w:t>The off-payroll rules are set out in Part 2, Chapter 10 ITEPA.  When the off-payroll rules apply</w:t>
      </w:r>
      <w:r w:rsidR="00DB1643">
        <w:t xml:space="preserve"> the client must</w:t>
      </w:r>
      <w:r w:rsidRPr="00884D77">
        <w:t xml:space="preserve">: </w:t>
      </w:r>
    </w:p>
    <w:p w14:paraId="04F074C9" w14:textId="77777777" w:rsidR="002274A6" w:rsidRPr="00884D77" w:rsidRDefault="002274A6">
      <w:pPr>
        <w:pStyle w:val="BodyText"/>
      </w:pPr>
    </w:p>
    <w:p w14:paraId="606DC6DE" w14:textId="289E82AE" w:rsidR="00884D77" w:rsidRPr="00884D77" w:rsidRDefault="00884D77">
      <w:pPr>
        <w:pStyle w:val="BodyText"/>
        <w:numPr>
          <w:ilvl w:val="0"/>
          <w:numId w:val="7"/>
        </w:numPr>
      </w:pPr>
      <w:r w:rsidRPr="00884D77">
        <w:t xml:space="preserve">decide whether the off-payroll rules apply to the engagement or not i.e. whether the engagement is </w:t>
      </w:r>
      <w:r w:rsidR="00674C2E">
        <w:t>'</w:t>
      </w:r>
      <w:r w:rsidRPr="00884D77">
        <w:t>inside IR35</w:t>
      </w:r>
      <w:r w:rsidR="00674C2E">
        <w:t>'</w:t>
      </w:r>
      <w:r w:rsidRPr="00884D77">
        <w:t xml:space="preserve"> or </w:t>
      </w:r>
      <w:r w:rsidR="00674C2E">
        <w:t>'</w:t>
      </w:r>
      <w:r w:rsidRPr="00884D77">
        <w:t>outside IR35</w:t>
      </w:r>
      <w:r w:rsidR="00674C2E">
        <w:t>'</w:t>
      </w:r>
      <w:r w:rsidR="00DB1643">
        <w:t xml:space="preserve"> and</w:t>
      </w:r>
      <w:r w:rsidRPr="00884D77">
        <w:t xml:space="preserve">  </w:t>
      </w:r>
    </w:p>
    <w:p w14:paraId="6E73170D" w14:textId="7FD490A3" w:rsidR="00884D77" w:rsidRPr="00884D77" w:rsidRDefault="00884D77">
      <w:pPr>
        <w:pStyle w:val="BodyText"/>
        <w:numPr>
          <w:ilvl w:val="0"/>
          <w:numId w:val="7"/>
        </w:numPr>
      </w:pPr>
      <w:r w:rsidRPr="00884D77">
        <w:t xml:space="preserve">provide a status determination statement </w:t>
      </w:r>
      <w:r w:rsidR="00DB1643">
        <w:t xml:space="preserve">(SDS) </w:t>
      </w:r>
      <w:r w:rsidRPr="00884D77">
        <w:t xml:space="preserve">setting out its </w:t>
      </w:r>
      <w:r w:rsidR="00981416">
        <w:t>tax</w:t>
      </w:r>
      <w:r w:rsidRPr="00884D77">
        <w:t xml:space="preserve"> status decision </w:t>
      </w:r>
      <w:r w:rsidRPr="00884D77">
        <w:rPr>
          <w:u w:val="single"/>
        </w:rPr>
        <w:t>and</w:t>
      </w:r>
      <w:r w:rsidRPr="00884D77">
        <w:t xml:space="preserve"> its reasons for the decision. </w:t>
      </w:r>
    </w:p>
    <w:p w14:paraId="7EF2D631" w14:textId="77777777" w:rsidR="00310C94" w:rsidRDefault="00310C94" w:rsidP="00A664EC">
      <w:pPr>
        <w:pStyle w:val="BodyText"/>
        <w:ind w:left="360"/>
      </w:pPr>
    </w:p>
    <w:p w14:paraId="6C12DBDE" w14:textId="6A7B8C50" w:rsidR="0019583F" w:rsidRDefault="0019583F" w:rsidP="00CD5206">
      <w:pPr>
        <w:spacing w:after="0" w:line="240" w:lineRule="auto"/>
        <w:rPr>
          <w:rStyle w:val="Heading2Char"/>
        </w:rPr>
      </w:pPr>
      <w:bookmarkStart w:id="1" w:name="_Hlk50449410"/>
      <w:r>
        <w:rPr>
          <w:rStyle w:val="Heading2Char"/>
        </w:rPr>
        <w:t xml:space="preserve">Passing the SDS down the supply chain </w:t>
      </w:r>
    </w:p>
    <w:p w14:paraId="70BDEBF6" w14:textId="3D73EBFD" w:rsidR="0019583F" w:rsidRDefault="0019583F" w:rsidP="00CD5206">
      <w:pPr>
        <w:spacing w:after="0" w:line="240" w:lineRule="auto"/>
        <w:rPr>
          <w:rStyle w:val="Heading2Char"/>
          <w:color w:val="auto"/>
          <w:sz w:val="20"/>
          <w:szCs w:val="20"/>
        </w:rPr>
      </w:pPr>
    </w:p>
    <w:p w14:paraId="474802BA" w14:textId="09452F8D" w:rsidR="0019583F" w:rsidRDefault="004040C1" w:rsidP="0019583F">
      <w:pPr>
        <w:pStyle w:val="BodyText"/>
      </w:pPr>
      <w:r>
        <w:lastRenderedPageBreak/>
        <w:t>T</w:t>
      </w:r>
      <w:r w:rsidR="0019583F">
        <w:t xml:space="preserve">he client must pass </w:t>
      </w:r>
      <w:r>
        <w:t>its tax status</w:t>
      </w:r>
      <w:r w:rsidR="0019583F">
        <w:t xml:space="preserve"> decision, and the reasons for that decision, to both the party </w:t>
      </w:r>
      <w:r>
        <w:t>it has a</w:t>
      </w:r>
      <w:r w:rsidR="0019583F">
        <w:t xml:space="preserve"> contract with (usually the agency) and the </w:t>
      </w:r>
      <w:r>
        <w:t>off-payroll worker</w:t>
      </w:r>
      <w:r w:rsidR="0019583F">
        <w:t xml:space="preserve">. Each party must pass the decision down the chain until it reaches the fee-payer i.e. the party next to the </w:t>
      </w:r>
      <w:r>
        <w:t>PSC</w:t>
      </w:r>
      <w:r w:rsidR="0019583F">
        <w:t xml:space="preserve"> in the supply chain.</w:t>
      </w:r>
    </w:p>
    <w:p w14:paraId="309D69F8" w14:textId="18341ACB" w:rsidR="0019583F" w:rsidRDefault="0019583F" w:rsidP="0019583F">
      <w:pPr>
        <w:pStyle w:val="BodyText"/>
      </w:pPr>
    </w:p>
    <w:p w14:paraId="21F7251D" w14:textId="1E900232" w:rsidR="0019583F" w:rsidRPr="009027DE" w:rsidRDefault="0019583F" w:rsidP="0019583F">
      <w:pPr>
        <w:pStyle w:val="BodyText"/>
      </w:pPr>
    </w:p>
    <w:p w14:paraId="21579118" w14:textId="2139BCAF" w:rsidR="0019583F" w:rsidRPr="00475116" w:rsidRDefault="00DB1643" w:rsidP="0019583F">
      <w:pPr>
        <w:rPr>
          <w:rFonts w:ascii="Lato" w:hAnsi="Lato"/>
          <w:color w:val="5974D4"/>
          <w:sz w:val="20"/>
          <w:szCs w:val="20"/>
          <w14:ligatures w14:val="standard"/>
        </w:rPr>
      </w:pPr>
      <w:bookmarkStart w:id="2" w:name="_Hlk50544071"/>
      <w:r w:rsidRPr="00475116">
        <w:rPr>
          <w:noProof/>
        </w:rPr>
        <w:drawing>
          <wp:anchor distT="0" distB="0" distL="114300" distR="114300" simplePos="0" relativeHeight="251660288" behindDoc="0" locked="0" layoutInCell="1" allowOverlap="1" wp14:anchorId="60C4C5ED" wp14:editId="29F11830">
            <wp:simplePos x="0" y="0"/>
            <wp:positionH relativeFrom="margin">
              <wp:align>left</wp:align>
            </wp:positionH>
            <wp:positionV relativeFrom="page">
              <wp:posOffset>1271270</wp:posOffset>
            </wp:positionV>
            <wp:extent cx="6019200" cy="3689377"/>
            <wp:effectExtent l="0" t="0" r="635" b="635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9200" cy="3689377"/>
                    </a:xfrm>
                    <a:prstGeom prst="rect">
                      <a:avLst/>
                    </a:prstGeom>
                  </pic:spPr>
                </pic:pic>
              </a:graphicData>
            </a:graphic>
            <wp14:sizeRelH relativeFrom="margin">
              <wp14:pctWidth>0</wp14:pctWidth>
            </wp14:sizeRelH>
            <wp14:sizeRelV relativeFrom="margin">
              <wp14:pctHeight>0</wp14:pctHeight>
            </wp14:sizeRelV>
          </wp:anchor>
        </w:drawing>
      </w:r>
      <w:r w:rsidR="0019583F" w:rsidRPr="00475116">
        <w:rPr>
          <w:rFonts w:ascii="Lato" w:hAnsi="Lato"/>
          <w:sz w:val="20"/>
          <w:szCs w:val="20"/>
        </w:rPr>
        <w:t xml:space="preserve">Diagram </w:t>
      </w:r>
      <w:r w:rsidR="0019583F">
        <w:rPr>
          <w:rFonts w:ascii="Lato" w:hAnsi="Lato"/>
          <w:sz w:val="20"/>
          <w:szCs w:val="20"/>
        </w:rPr>
        <w:t>adapted</w:t>
      </w:r>
      <w:r w:rsidR="0019583F" w:rsidRPr="00475116">
        <w:rPr>
          <w:rFonts w:ascii="Lato" w:hAnsi="Lato"/>
          <w:sz w:val="20"/>
          <w:szCs w:val="20"/>
        </w:rPr>
        <w:t xml:space="preserve"> from the </w:t>
      </w:r>
      <w:hyperlink r:id="rId12" w:history="1">
        <w:r w:rsidR="0019583F">
          <w:rPr>
            <w:rStyle w:val="Hyperlink"/>
            <w:rFonts w:ascii="Lato" w:hAnsi="Lato"/>
            <w:color w:val="36BEAE" w:themeColor="text2"/>
            <w:sz w:val="20"/>
            <w:szCs w:val="20"/>
          </w:rPr>
          <w:t>g</w:t>
        </w:r>
        <w:r w:rsidR="0019583F" w:rsidRPr="00475116">
          <w:rPr>
            <w:rStyle w:val="Hyperlink"/>
            <w:rFonts w:ascii="Lato" w:hAnsi="Lato"/>
            <w:color w:val="36BEAE" w:themeColor="text2"/>
            <w:sz w:val="20"/>
            <w:szCs w:val="20"/>
          </w:rPr>
          <w:t>overnment’s Summary of Responses</w:t>
        </w:r>
      </w:hyperlink>
      <w:r w:rsidR="0019583F" w:rsidRPr="00475116">
        <w:rPr>
          <w:rFonts w:ascii="Lato" w:hAnsi="Lato"/>
          <w:sz w:val="20"/>
          <w:szCs w:val="20"/>
        </w:rPr>
        <w:t xml:space="preserve">. </w:t>
      </w:r>
      <w:bookmarkEnd w:id="2"/>
    </w:p>
    <w:p w14:paraId="7199A20C" w14:textId="7E10055B" w:rsidR="0019583F" w:rsidRDefault="0019583F" w:rsidP="00CD5206">
      <w:pPr>
        <w:spacing w:after="0" w:line="240" w:lineRule="auto"/>
        <w:rPr>
          <w:rStyle w:val="Heading2Char"/>
          <w:color w:val="auto"/>
          <w:sz w:val="20"/>
          <w:szCs w:val="20"/>
        </w:rPr>
      </w:pPr>
    </w:p>
    <w:bookmarkEnd w:id="1"/>
    <w:p w14:paraId="65B26608" w14:textId="77777777" w:rsidR="00DB1643" w:rsidRPr="00884D77" w:rsidRDefault="00DB1643" w:rsidP="00DB1643">
      <w:pPr>
        <w:pStyle w:val="Heading2"/>
        <w:numPr>
          <w:ilvl w:val="0"/>
          <w:numId w:val="0"/>
        </w:numPr>
        <w:spacing w:before="0" w:after="0"/>
        <w:ind w:left="576" w:hanging="576"/>
        <w:rPr>
          <w:b/>
        </w:rPr>
      </w:pPr>
      <w:r w:rsidRPr="00884D77">
        <w:t xml:space="preserve">Inside or outside IR35? </w:t>
      </w:r>
    </w:p>
    <w:p w14:paraId="0801325A" w14:textId="77777777" w:rsidR="00DB1643" w:rsidRPr="00884D77" w:rsidRDefault="00DB1643" w:rsidP="00DB1643">
      <w:pPr>
        <w:pStyle w:val="BodyText"/>
      </w:pPr>
    </w:p>
    <w:p w14:paraId="30F55A52" w14:textId="77777777" w:rsidR="00DB1643" w:rsidRPr="00884D77" w:rsidRDefault="00DB1643" w:rsidP="00DB1643">
      <w:pPr>
        <w:pStyle w:val="BodyText"/>
      </w:pPr>
      <w:r w:rsidRPr="00884D77">
        <w:t xml:space="preserve">The IR35 rules are set out in Part 2, </w:t>
      </w:r>
      <w:hyperlink r:id="rId13" w:history="1">
        <w:r w:rsidRPr="00B601AA">
          <w:rPr>
            <w:rStyle w:val="Hyperlink"/>
            <w:color w:val="36BEAE" w:themeColor="text2"/>
          </w:rPr>
          <w:t>Chapter 8 ITEPA</w:t>
        </w:r>
        <w:r w:rsidRPr="00884D77">
          <w:rPr>
            <w:rStyle w:val="Hyperlink"/>
          </w:rPr>
          <w:t xml:space="preserve"> </w:t>
        </w:r>
      </w:hyperlink>
      <w:r w:rsidRPr="00884D77">
        <w:t xml:space="preserve">.  The terms IR35, inside or outside IR35 are commonly used but are not defined in ITEPA.  In brief, the rules apply to any off-payroll worker. IR35 should be assessed on an engagement by engagement basis and applied to a hypothetical contract directly between the off-payroll worker and the client i.e. one where the intermediary does not exist.  </w:t>
      </w:r>
    </w:p>
    <w:p w14:paraId="4F96DB66" w14:textId="77777777" w:rsidR="00DB1643" w:rsidRDefault="00DB1643" w:rsidP="00DB1643">
      <w:pPr>
        <w:pStyle w:val="BodyText"/>
      </w:pPr>
    </w:p>
    <w:p w14:paraId="696BA933" w14:textId="1B6F4F8E" w:rsidR="00DB1643" w:rsidRDefault="00DB1643" w:rsidP="00DB1643">
      <w:pPr>
        <w:pStyle w:val="BodyText"/>
      </w:pPr>
      <w:r w:rsidRPr="004040C1">
        <w:rPr>
          <w:b/>
          <w:bCs/>
          <w:color w:val="002060"/>
        </w:rPr>
        <w:t xml:space="preserve">'Inside IR35' </w:t>
      </w:r>
      <w:r>
        <w:t>me</w:t>
      </w:r>
      <w:r w:rsidRPr="00884D77">
        <w:t xml:space="preserve">ans the engagement is captured by the rules i.e. the off-payroll worker </w:t>
      </w:r>
      <w:r w:rsidR="004040C1">
        <w:t>is deemed to be</w:t>
      </w:r>
      <w:r w:rsidRPr="00884D77">
        <w:t xml:space="preserve"> an employee (for tax purposes) of the client, meaning s/he should pay tax and national insurance in the same way as an employee.  Employers’ national insurance </w:t>
      </w:r>
      <w:r w:rsidR="004040C1">
        <w:t>is</w:t>
      </w:r>
      <w:r w:rsidRPr="00884D77">
        <w:t xml:space="preserve"> also due.  </w:t>
      </w:r>
    </w:p>
    <w:p w14:paraId="6246FEDD" w14:textId="77777777" w:rsidR="00DB1643" w:rsidRPr="00884D77" w:rsidRDefault="00DB1643" w:rsidP="00DB1643">
      <w:pPr>
        <w:pStyle w:val="BodyText"/>
      </w:pPr>
    </w:p>
    <w:p w14:paraId="58AC4F5B" w14:textId="77777777" w:rsidR="00DB1643" w:rsidRDefault="00DB1643" w:rsidP="00DB1643">
      <w:pPr>
        <w:pStyle w:val="BodyText"/>
      </w:pPr>
      <w:r w:rsidRPr="004040C1">
        <w:rPr>
          <w:b/>
          <w:bCs/>
          <w:color w:val="002060"/>
        </w:rPr>
        <w:t>'Outside IR35'</w:t>
      </w:r>
      <w:r w:rsidRPr="00884D77">
        <w:t xml:space="preserve"> means the off-payroll worker does not look like an employee of the client, is genuinely self-employed (for tax purposes) and so employee tax and national insurance are not payable.  </w:t>
      </w:r>
    </w:p>
    <w:p w14:paraId="656D458D" w14:textId="77777777" w:rsidR="00DB1643" w:rsidRDefault="00DB1643" w:rsidP="00DB1643">
      <w:pPr>
        <w:pStyle w:val="BodyText"/>
      </w:pPr>
    </w:p>
    <w:p w14:paraId="2C1216DA" w14:textId="77777777" w:rsidR="00DB1643" w:rsidRPr="00884D77" w:rsidRDefault="00DB1643" w:rsidP="00DB1643">
      <w:pPr>
        <w:pStyle w:val="BodyText"/>
      </w:pPr>
      <w:r>
        <w:t>Note that office holder roles are always 'inside IR35' (</w:t>
      </w:r>
      <w:hyperlink r:id="rId14" w:history="1">
        <w:r w:rsidRPr="00B601AA">
          <w:rPr>
            <w:rStyle w:val="Hyperlink"/>
            <w:color w:val="36BEAE" w:themeColor="text2"/>
          </w:rPr>
          <w:t>ESM 10001</w:t>
        </w:r>
      </w:hyperlink>
      <w:r>
        <w:t xml:space="preserve">). </w:t>
      </w:r>
    </w:p>
    <w:p w14:paraId="2263BCE6" w14:textId="77777777" w:rsidR="00DB1643" w:rsidRDefault="00DB1643" w:rsidP="00DB1643">
      <w:pPr>
        <w:pStyle w:val="BodyText"/>
        <w:rPr>
          <w:i/>
          <w:iCs/>
          <w:color w:val="5974D4" w:themeColor="background1"/>
        </w:rPr>
      </w:pPr>
    </w:p>
    <w:p w14:paraId="740462BD" w14:textId="7F69ACDF" w:rsidR="00DB1643" w:rsidRDefault="00B7687A" w:rsidP="00DB1643">
      <w:pPr>
        <w:pStyle w:val="BodyText"/>
      </w:pPr>
      <w:r>
        <w:t>Under the off-payroll rules, t</w:t>
      </w:r>
      <w:r w:rsidR="00DB1643" w:rsidRPr="00884D77">
        <w:t xml:space="preserve">he client’s status decision will determine the employment business’s payment and deduction obligations for the relevant assignment. </w:t>
      </w:r>
    </w:p>
    <w:p w14:paraId="674CF51A" w14:textId="01FBA080" w:rsidR="00DB1643" w:rsidRDefault="00DB1643" w:rsidP="00DB1643">
      <w:pPr>
        <w:pStyle w:val="BodyText"/>
        <w:ind w:left="360"/>
      </w:pPr>
    </w:p>
    <w:p w14:paraId="0E63DDCF" w14:textId="0A08DB9C" w:rsidR="00DB1643" w:rsidRPr="00884D77" w:rsidRDefault="00DB1643" w:rsidP="00DB1643">
      <w:pPr>
        <w:pStyle w:val="BodyText"/>
        <w:numPr>
          <w:ilvl w:val="0"/>
          <w:numId w:val="19"/>
        </w:numPr>
        <w:ind w:left="720"/>
      </w:pPr>
      <w:r w:rsidRPr="00884D77">
        <w:t>If the client deci</w:t>
      </w:r>
      <w:r>
        <w:t>des</w:t>
      </w:r>
      <w:r w:rsidRPr="00884D77">
        <w:t xml:space="preserve"> that the off-payroll rules apply to the engagement i.e. that the engagement is </w:t>
      </w:r>
      <w:r w:rsidRPr="00773022">
        <w:rPr>
          <w:b/>
          <w:bCs/>
          <w:color w:val="002060"/>
        </w:rPr>
        <w:t>'inside IR35'</w:t>
      </w:r>
      <w:r w:rsidRPr="00884D77">
        <w:t xml:space="preserve"> then the party closest to the </w:t>
      </w:r>
      <w:r w:rsidR="00B7687A">
        <w:t>PSC</w:t>
      </w:r>
      <w:r w:rsidRPr="00884D77">
        <w:t xml:space="preserve"> becomes the fee-payer and must </w:t>
      </w:r>
      <w:r w:rsidRPr="00884D77">
        <w:lastRenderedPageBreak/>
        <w:t xml:space="preserve">deduct tax and national insurance  before paying the </w:t>
      </w:r>
      <w:r w:rsidR="00B7687A">
        <w:t>PSC</w:t>
      </w:r>
      <w:r w:rsidRPr="00884D77">
        <w:t xml:space="preserve"> (and pay employer’s national insurance). This should be reported via the fee-payer’s Real Time Information report. </w:t>
      </w:r>
    </w:p>
    <w:p w14:paraId="28410F3D" w14:textId="77777777" w:rsidR="00DB1643" w:rsidRDefault="00DB1643" w:rsidP="00DB1643">
      <w:pPr>
        <w:pStyle w:val="BodyText"/>
        <w:ind w:left="360"/>
      </w:pPr>
    </w:p>
    <w:p w14:paraId="62F2641C" w14:textId="2401382A" w:rsidR="00DB1643" w:rsidRDefault="00DB1643" w:rsidP="00DB1643">
      <w:pPr>
        <w:pStyle w:val="BodyText"/>
        <w:numPr>
          <w:ilvl w:val="0"/>
          <w:numId w:val="19"/>
        </w:numPr>
        <w:ind w:left="720"/>
      </w:pPr>
      <w:r w:rsidRPr="00884D77">
        <w:t>If the client deci</w:t>
      </w:r>
      <w:r>
        <w:t>des</w:t>
      </w:r>
      <w:r w:rsidRPr="00884D77">
        <w:t xml:space="preserve"> that the off-payroll rules do not apply to the engagement i.e. that the engagement is </w:t>
      </w:r>
      <w:r w:rsidRPr="00773022">
        <w:rPr>
          <w:b/>
          <w:bCs/>
          <w:color w:val="002060"/>
        </w:rPr>
        <w:t>'outside IR35'</w:t>
      </w:r>
      <w:r w:rsidRPr="00884D77">
        <w:t xml:space="preserve">, then the party closest to the </w:t>
      </w:r>
      <w:r w:rsidR="00B7687A">
        <w:t>PSC</w:t>
      </w:r>
      <w:r w:rsidRPr="00884D77">
        <w:t xml:space="preserve"> is still the fee-payer, but it will not have to deduct tax or national insurance.  Instead the fee-payer can pay the </w:t>
      </w:r>
      <w:r w:rsidR="00B7687A">
        <w:t>PSC</w:t>
      </w:r>
      <w:r w:rsidRPr="00884D77">
        <w:t xml:space="preserve"> gross and the </w:t>
      </w:r>
      <w:r w:rsidR="00B7687A">
        <w:t>PSC</w:t>
      </w:r>
      <w:r w:rsidRPr="00884D77">
        <w:t xml:space="preserve"> is responsible for its own tax affairs. The fee-payer (where it is an employment business) should report this payment via the </w:t>
      </w:r>
      <w:hyperlink r:id="rId15" w:history="1">
        <w:r w:rsidRPr="00015F9D">
          <w:rPr>
            <w:rStyle w:val="Hyperlink"/>
            <w:color w:val="36BEAE" w:themeColor="text2"/>
          </w:rPr>
          <w:t>quarterly ITEPA reports</w:t>
        </w:r>
      </w:hyperlink>
      <w:r w:rsidRPr="00884D77">
        <w:t xml:space="preserve">). </w:t>
      </w:r>
    </w:p>
    <w:p w14:paraId="07F774EB" w14:textId="77777777" w:rsidR="00DB1643" w:rsidRPr="00884D77" w:rsidRDefault="00DB1643" w:rsidP="00DB1643">
      <w:pPr>
        <w:pStyle w:val="BodyText"/>
        <w:ind w:left="360"/>
      </w:pPr>
    </w:p>
    <w:p w14:paraId="1FA8DC3C" w14:textId="78776950" w:rsidR="00DB1643" w:rsidRDefault="00DB1643" w:rsidP="00DB1643">
      <w:pPr>
        <w:pStyle w:val="BodyText"/>
      </w:pPr>
      <w:r>
        <w:t xml:space="preserve">HMRC provide the </w:t>
      </w:r>
      <w:hyperlink r:id="rId16" w:history="1">
        <w:r w:rsidRPr="00B601AA">
          <w:rPr>
            <w:rStyle w:val="Hyperlink"/>
            <w:color w:val="36BEAE" w:themeColor="text2"/>
          </w:rPr>
          <w:t>Check Employment Status for Tax Tool</w:t>
        </w:r>
      </w:hyperlink>
      <w:r>
        <w:t xml:space="preserve"> (CEST) - see </w:t>
      </w:r>
      <w:hyperlink r:id="rId17" w:history="1">
        <w:r w:rsidRPr="00B601AA">
          <w:rPr>
            <w:rStyle w:val="Hyperlink"/>
            <w:color w:val="36BEAE" w:themeColor="text2"/>
          </w:rPr>
          <w:t>ESM 11000</w:t>
        </w:r>
      </w:hyperlink>
      <w:r>
        <w:t xml:space="preserve"> for detailed guidance on CEST.  </w:t>
      </w:r>
      <w:r w:rsidR="00B7687A">
        <w:t xml:space="preserve">The client can use any tool to make the tax status decision. </w:t>
      </w:r>
      <w:r>
        <w:t xml:space="preserve">The client can also use external support to come to their status decision but the client remains legally responsible for the decision. </w:t>
      </w:r>
    </w:p>
    <w:p w14:paraId="2C159E19" w14:textId="77777777" w:rsidR="00DB1643" w:rsidRDefault="00DB1643" w:rsidP="00DB1643">
      <w:pPr>
        <w:pStyle w:val="BodyText"/>
      </w:pPr>
    </w:p>
    <w:p w14:paraId="5A2A43A1" w14:textId="7A76D723" w:rsidR="00DB1643" w:rsidRDefault="00DB1643" w:rsidP="00DB1643">
      <w:pPr>
        <w:pStyle w:val="BodyText"/>
      </w:pPr>
      <w:r w:rsidRPr="00B601AA">
        <w:rPr>
          <w:b/>
          <w:bCs/>
          <w:color w:val="002060"/>
        </w:rPr>
        <w:t>The client must take reasonable care</w:t>
      </w:r>
      <w:r w:rsidRPr="00884D77">
        <w:t xml:space="preserve"> when making </w:t>
      </w:r>
      <w:r w:rsidR="00B7687A">
        <w:t>its tax status</w:t>
      </w:r>
      <w:r w:rsidRPr="00884D77">
        <w:t xml:space="preserve"> decision – otherwise it is not a valid SDS and the client becomes liable for any unpaid tax and national insurance.  There is no specified format for the SDS, which is why we have created this template.</w:t>
      </w:r>
      <w:r w:rsidR="004040C1">
        <w:t xml:space="preserve"> </w:t>
      </w:r>
    </w:p>
    <w:p w14:paraId="5F2A5501" w14:textId="77777777" w:rsidR="00DB1643" w:rsidRPr="00884D77" w:rsidRDefault="00DB1643" w:rsidP="00DB1643">
      <w:pPr>
        <w:pStyle w:val="BodyText"/>
      </w:pPr>
    </w:p>
    <w:p w14:paraId="760BDF2D" w14:textId="77777777" w:rsidR="00DB1643" w:rsidRPr="00884D77" w:rsidRDefault="00DB1643" w:rsidP="00DB1643">
      <w:pPr>
        <w:pStyle w:val="Heading2"/>
        <w:numPr>
          <w:ilvl w:val="0"/>
          <w:numId w:val="0"/>
        </w:numPr>
        <w:spacing w:before="0" w:after="0"/>
        <w:ind w:left="576" w:hanging="576"/>
      </w:pPr>
      <w:r w:rsidRPr="00884D77">
        <w:t xml:space="preserve">Disagreeing with the client's status determination statement </w:t>
      </w:r>
    </w:p>
    <w:p w14:paraId="407DBD0E" w14:textId="77777777" w:rsidR="00DB1643" w:rsidRPr="00884D77" w:rsidRDefault="00DB1643" w:rsidP="00DB1643">
      <w:pPr>
        <w:pStyle w:val="BodyText"/>
      </w:pPr>
    </w:p>
    <w:p w14:paraId="32CA97BB" w14:textId="560BD998" w:rsidR="00DB1643" w:rsidRDefault="00DB1643" w:rsidP="00DB1643">
      <w:pPr>
        <w:pStyle w:val="BodyText"/>
        <w:rPr>
          <w:b/>
        </w:rPr>
      </w:pPr>
      <w:r w:rsidRPr="00884D77">
        <w:t xml:space="preserve">The client is legally required to provide the status determination statement to the </w:t>
      </w:r>
      <w:r>
        <w:t>'</w:t>
      </w:r>
      <w:r w:rsidRPr="00884D77">
        <w:t>deemed employer</w:t>
      </w:r>
      <w:r>
        <w:t>'</w:t>
      </w:r>
      <w:r w:rsidRPr="00884D77">
        <w:t xml:space="preserve"> (usually this will be the employment business) and the off-payroll worker (where known) – it cannot pass this obligation to another party in the supply chain.  The client must take reasonable care when making its IR35 status decision. </w:t>
      </w:r>
      <w:r w:rsidR="004040C1">
        <w:t xml:space="preserve"> For information on reasonable care see </w:t>
      </w:r>
      <w:hyperlink r:id="rId18" w:history="1">
        <w:r w:rsidR="004040C1" w:rsidRPr="004040C1">
          <w:rPr>
            <w:rStyle w:val="Hyperlink"/>
            <w:color w:val="36BEAE" w:themeColor="text2"/>
          </w:rPr>
          <w:t>ESM 10014</w:t>
        </w:r>
      </w:hyperlink>
      <w:r w:rsidR="004040C1">
        <w:t xml:space="preserve">. </w:t>
      </w:r>
    </w:p>
    <w:p w14:paraId="212BAC04" w14:textId="77777777" w:rsidR="00DB1643" w:rsidRDefault="00DB1643" w:rsidP="00DB1643">
      <w:pPr>
        <w:pStyle w:val="BodyText"/>
        <w:rPr>
          <w:b/>
        </w:rPr>
      </w:pPr>
    </w:p>
    <w:p w14:paraId="2372C915" w14:textId="77777777" w:rsidR="00DB1643" w:rsidRPr="00884D77" w:rsidRDefault="00DB1643" w:rsidP="00DB1643">
      <w:pPr>
        <w:pStyle w:val="BodyText"/>
      </w:pPr>
      <w:r w:rsidRPr="00884D77">
        <w:rPr>
          <w:b/>
          <w:color w:val="141D60" w:themeColor="text1" w:themeTint="E6"/>
        </w:rPr>
        <w:t xml:space="preserve">Employment businesses/fee-payers should not make the IR35 status decision on behalf of the client or replace the client’s decision with their own view. </w:t>
      </w:r>
      <w:r w:rsidRPr="00884D77">
        <w:t xml:space="preserve">If the off-payroll worker or the employment business disagree with the client’s decision, they can request further information from the client which must then respond within 45 days of receipt of the enquiry. The client should then either: </w:t>
      </w:r>
    </w:p>
    <w:p w14:paraId="0598E3E1" w14:textId="77777777" w:rsidR="00DB1643" w:rsidRPr="00884D77" w:rsidRDefault="00DB1643" w:rsidP="00DB1643">
      <w:pPr>
        <w:pStyle w:val="BodyText"/>
      </w:pPr>
    </w:p>
    <w:p w14:paraId="556AD985" w14:textId="77777777" w:rsidR="00DB1643" w:rsidRPr="00884D77" w:rsidRDefault="00DB1643" w:rsidP="00DB1643">
      <w:pPr>
        <w:pStyle w:val="BodyText"/>
        <w:numPr>
          <w:ilvl w:val="0"/>
          <w:numId w:val="10"/>
        </w:numPr>
      </w:pPr>
      <w:r w:rsidRPr="00884D77">
        <w:t xml:space="preserve">confirm its status decision and give the reasons why; or </w:t>
      </w:r>
    </w:p>
    <w:p w14:paraId="7F27B8A7" w14:textId="77777777" w:rsidR="00DB1643" w:rsidRPr="00884D77" w:rsidRDefault="00DB1643" w:rsidP="00DB1643">
      <w:pPr>
        <w:pStyle w:val="BodyText"/>
        <w:numPr>
          <w:ilvl w:val="0"/>
          <w:numId w:val="10"/>
        </w:numPr>
      </w:pPr>
      <w:r w:rsidRPr="00884D77">
        <w:t xml:space="preserve">confirm that it has changed its decision, withdraw the original SDS and give a new SDS. </w:t>
      </w:r>
      <w:r w:rsidRPr="00884D77">
        <w:rPr>
          <w:vertAlign w:val="superscript"/>
        </w:rPr>
        <w:footnoteReference w:id="3"/>
      </w:r>
    </w:p>
    <w:p w14:paraId="31E3C9BE" w14:textId="77777777" w:rsidR="00DB1643" w:rsidRDefault="00DB1643" w:rsidP="00DB1643">
      <w:pPr>
        <w:pStyle w:val="BodyText"/>
        <w:rPr>
          <w:rFonts w:asciiTheme="minorHAnsi" w:hAnsiTheme="minorHAnsi"/>
          <w:sz w:val="22"/>
          <w:szCs w:val="22"/>
          <w14:ligatures w14:val="none"/>
        </w:rPr>
      </w:pPr>
    </w:p>
    <w:p w14:paraId="0ABF473B" w14:textId="77777777" w:rsidR="00DB1643" w:rsidRPr="00176703" w:rsidRDefault="00DB1643" w:rsidP="00DB1643">
      <w:pPr>
        <w:spacing w:after="0" w:line="240" w:lineRule="auto"/>
        <w:rPr>
          <w:rFonts w:ascii="Lato" w:hAnsi="Lato"/>
          <w:b/>
          <w:bCs/>
          <w:color w:val="0D133D" w:themeColor="text1"/>
          <w:sz w:val="20"/>
          <w:szCs w:val="20"/>
        </w:rPr>
      </w:pPr>
      <w:r w:rsidRPr="00176703">
        <w:rPr>
          <w:rFonts w:ascii="Lato" w:hAnsi="Lato"/>
          <w:b/>
          <w:bCs/>
          <w:color w:val="0D133D" w:themeColor="text1"/>
          <w:sz w:val="20"/>
          <w:szCs w:val="20"/>
        </w:rPr>
        <w:t>For more information</w:t>
      </w:r>
      <w:r>
        <w:rPr>
          <w:rFonts w:ascii="Lato" w:hAnsi="Lato"/>
          <w:b/>
          <w:bCs/>
          <w:color w:val="0D133D" w:themeColor="text1"/>
          <w:sz w:val="20"/>
          <w:szCs w:val="20"/>
        </w:rPr>
        <w:t xml:space="preserve"> on the SDS</w:t>
      </w:r>
      <w:r w:rsidRPr="00176703">
        <w:rPr>
          <w:rFonts w:ascii="Lato" w:hAnsi="Lato"/>
          <w:b/>
          <w:bCs/>
          <w:color w:val="0D133D" w:themeColor="text1"/>
          <w:sz w:val="20"/>
          <w:szCs w:val="20"/>
        </w:rPr>
        <w:t xml:space="preserve">, </w:t>
      </w:r>
      <w:r>
        <w:rPr>
          <w:rFonts w:ascii="Lato" w:hAnsi="Lato"/>
          <w:b/>
          <w:bCs/>
          <w:color w:val="0D133D" w:themeColor="text1"/>
          <w:sz w:val="20"/>
          <w:szCs w:val="20"/>
        </w:rPr>
        <w:t xml:space="preserve">reasonable care and disagreeing with the client's SDS </w:t>
      </w:r>
      <w:r w:rsidRPr="00176703">
        <w:rPr>
          <w:rFonts w:ascii="Lato" w:hAnsi="Lato"/>
          <w:b/>
          <w:bCs/>
          <w:color w:val="0D133D" w:themeColor="text1"/>
          <w:sz w:val="20"/>
          <w:szCs w:val="20"/>
        </w:rPr>
        <w:t>see:</w:t>
      </w:r>
    </w:p>
    <w:p w14:paraId="671C67AA" w14:textId="77777777" w:rsidR="00DB1643" w:rsidRDefault="00DB3BAC" w:rsidP="00DB1643">
      <w:pPr>
        <w:pStyle w:val="ListParagraph"/>
        <w:numPr>
          <w:ilvl w:val="0"/>
          <w:numId w:val="12"/>
        </w:numPr>
        <w:rPr>
          <w:color w:val="36BEAE" w:themeColor="text2"/>
        </w:rPr>
      </w:pPr>
      <w:hyperlink r:id="rId19" w:history="1">
        <w:r w:rsidR="00DB1643" w:rsidRPr="00BE1586">
          <w:rPr>
            <w:rStyle w:val="Hyperlink"/>
            <w:color w:val="36BEAE" w:themeColor="text2"/>
          </w:rPr>
          <w:t>ESM 100</w:t>
        </w:r>
        <w:r w:rsidR="00DB1643">
          <w:rPr>
            <w:rStyle w:val="Hyperlink"/>
            <w:color w:val="36BEAE" w:themeColor="text2"/>
          </w:rPr>
          <w:t xml:space="preserve">12 to 10014 </w:t>
        </w:r>
      </w:hyperlink>
    </w:p>
    <w:p w14:paraId="0D2B7A52" w14:textId="77777777" w:rsidR="00DB1643" w:rsidRDefault="00DB1643" w:rsidP="00B601AA">
      <w:pPr>
        <w:pStyle w:val="Heading2"/>
        <w:numPr>
          <w:ilvl w:val="0"/>
          <w:numId w:val="0"/>
        </w:numPr>
        <w:spacing w:before="0" w:after="0"/>
        <w:ind w:left="576" w:hanging="576"/>
      </w:pPr>
    </w:p>
    <w:p w14:paraId="7B6C2082" w14:textId="53555F07" w:rsidR="00884D77" w:rsidRPr="00884D77" w:rsidRDefault="00884D77" w:rsidP="00B601AA">
      <w:pPr>
        <w:pStyle w:val="Heading2"/>
        <w:numPr>
          <w:ilvl w:val="0"/>
          <w:numId w:val="0"/>
        </w:numPr>
        <w:spacing w:before="0" w:after="0"/>
        <w:ind w:left="576" w:hanging="576"/>
        <w:rPr>
          <w:b/>
        </w:rPr>
      </w:pPr>
      <w:r w:rsidRPr="00884D77">
        <w:t xml:space="preserve">How to use this </w:t>
      </w:r>
      <w:r w:rsidR="00157A97">
        <w:t>form</w:t>
      </w:r>
      <w:r w:rsidR="00157A97" w:rsidRPr="00884D77">
        <w:t xml:space="preserve"> </w:t>
      </w:r>
    </w:p>
    <w:p w14:paraId="7E281EA6" w14:textId="77777777" w:rsidR="00884D77" w:rsidRPr="00884D77" w:rsidRDefault="00884D77">
      <w:pPr>
        <w:pStyle w:val="BodyText"/>
        <w:rPr>
          <w:b/>
        </w:rPr>
      </w:pPr>
    </w:p>
    <w:p w14:paraId="642CB738" w14:textId="2AF15704" w:rsidR="00884D77" w:rsidRPr="00884D77" w:rsidRDefault="00884D77">
      <w:pPr>
        <w:pStyle w:val="BodyText"/>
        <w:rPr>
          <w:u w:val="single"/>
        </w:rPr>
      </w:pPr>
      <w:r w:rsidRPr="00884D77">
        <w:t>The REC produces template documents for its members to use.  These are generic documents for use across a range of sectors so members will need to amend the documents to suit their own business needs. The REC legal team cannot amend documents for members, or review amendments they have made</w:t>
      </w:r>
      <w:r w:rsidR="005A4CFE">
        <w:t xml:space="preserve"> but can answer questions about understanding</w:t>
      </w:r>
      <w:r w:rsidRPr="00884D77">
        <w:t xml:space="preserve">. </w:t>
      </w:r>
      <w:r w:rsidR="00C50CF5" w:rsidRPr="00CB5283">
        <w:t xml:space="preserve">However </w:t>
      </w:r>
      <w:hyperlink r:id="rId20" w:history="1">
        <w:r w:rsidR="00C50CF5" w:rsidRPr="00015F9D">
          <w:rPr>
            <w:rStyle w:val="Hyperlink"/>
            <w:color w:val="36BEAE" w:themeColor="text2"/>
          </w:rPr>
          <w:t>REC legal business partners</w:t>
        </w:r>
      </w:hyperlink>
      <w:r w:rsidR="00C50CF5">
        <w:t xml:space="preserve"> </w:t>
      </w:r>
      <w:r w:rsidR="00C50CF5" w:rsidRPr="00CB5283">
        <w:t>can assist members at discounted rates</w:t>
      </w:r>
      <w:r w:rsidR="00C50CF5" w:rsidRPr="00884D77" w:rsidDel="00C50CF5">
        <w:t xml:space="preserve"> </w:t>
      </w:r>
      <w:r w:rsidRPr="00884D77">
        <w:t xml:space="preserve">. </w:t>
      </w:r>
    </w:p>
    <w:p w14:paraId="227DD55C" w14:textId="77777777" w:rsidR="00884D77" w:rsidRPr="00884D77" w:rsidRDefault="00884D77" w:rsidP="00884D77">
      <w:pPr>
        <w:pStyle w:val="BodyText"/>
        <w:rPr>
          <w:b/>
        </w:rPr>
      </w:pPr>
    </w:p>
    <w:tbl>
      <w:tblPr>
        <w:tblStyle w:val="RECtable1"/>
        <w:tblW w:w="0" w:type="auto"/>
        <w:jc w:val="center"/>
        <w:tblLook w:val="0480" w:firstRow="0" w:lastRow="0" w:firstColumn="1" w:lastColumn="0" w:noHBand="0" w:noVBand="1"/>
      </w:tblPr>
      <w:tblGrid>
        <w:gridCol w:w="9016"/>
      </w:tblGrid>
      <w:tr w:rsidR="0055050A" w:rsidRPr="00884D77" w14:paraId="5273C620" w14:textId="77777777" w:rsidTr="00264432">
        <w:trPr>
          <w:jc w:val="center"/>
        </w:trPr>
        <w:tc>
          <w:tcPr>
            <w:tcW w:w="9016" w:type="dxa"/>
          </w:tcPr>
          <w:p w14:paraId="3D827FF6" w14:textId="4A539936" w:rsidR="0055050A" w:rsidRPr="00884D77" w:rsidRDefault="0055050A" w:rsidP="002A565A">
            <w:pPr>
              <w:pStyle w:val="IntroductionParagraph"/>
              <w:spacing w:after="0"/>
              <w:ind w:left="0" w:right="0"/>
              <w:jc w:val="center"/>
            </w:pPr>
            <w:r w:rsidRPr="00884D77">
              <w:lastRenderedPageBreak/>
              <w:t>REC template documents have been prepared exclusively for REC Corporate Members. You must not distribute these template documents to third parties except where you require them to complete the document.</w:t>
            </w:r>
          </w:p>
        </w:tc>
      </w:tr>
    </w:tbl>
    <w:p w14:paraId="1801A22E" w14:textId="77777777" w:rsidR="00157A97" w:rsidRDefault="00157A97" w:rsidP="00884D77">
      <w:pPr>
        <w:pStyle w:val="BodyText"/>
        <w:sectPr w:rsidR="00157A97" w:rsidSect="00213EE0">
          <w:headerReference w:type="default" r:id="rId21"/>
          <w:footerReference w:type="default" r:id="rId22"/>
          <w:pgSz w:w="11906" w:h="16838"/>
          <w:pgMar w:top="2268" w:right="1440" w:bottom="1701" w:left="1440" w:header="709" w:footer="709" w:gutter="0"/>
          <w:cols w:space="708"/>
          <w:docGrid w:linePitch="360"/>
        </w:sectPr>
      </w:pPr>
    </w:p>
    <w:p w14:paraId="57EBDA59" w14:textId="608C9B4C" w:rsidR="00884D77" w:rsidRPr="00884D77" w:rsidRDefault="00884D77" w:rsidP="00884D77">
      <w:pPr>
        <w:pStyle w:val="BodyText"/>
      </w:pPr>
    </w:p>
    <w:p w14:paraId="0E2466F8" w14:textId="77777777" w:rsidR="00884D77" w:rsidRPr="00884D77" w:rsidRDefault="00884D77" w:rsidP="00884D77">
      <w:pPr>
        <w:pStyle w:val="BodyText"/>
      </w:pPr>
      <w:r w:rsidRPr="00884D77">
        <w:t xml:space="preserve"> </w:t>
      </w:r>
      <w:r w:rsidRPr="00884D77">
        <w:rPr>
          <w:highlight w:val="green"/>
        </w:rPr>
        <w:t>[REC members can add their company logo if they wish]</w:t>
      </w:r>
      <w:r w:rsidRPr="00884D77">
        <w:t xml:space="preserve"> </w:t>
      </w:r>
    </w:p>
    <w:p w14:paraId="258EFB62" w14:textId="77777777" w:rsidR="00884D77" w:rsidRPr="00884D77" w:rsidRDefault="00884D77" w:rsidP="00F25193">
      <w:pPr>
        <w:pStyle w:val="Heading2"/>
        <w:numPr>
          <w:ilvl w:val="0"/>
          <w:numId w:val="0"/>
        </w:numPr>
        <w:ind w:left="576" w:hanging="576"/>
        <w:jc w:val="center"/>
      </w:pPr>
      <w:r w:rsidRPr="00884D77">
        <w:t>Off-payroll rules (IR35) status determination statement</w:t>
      </w:r>
    </w:p>
    <w:p w14:paraId="794E966C" w14:textId="77777777" w:rsidR="00884D77" w:rsidRPr="00884D77" w:rsidRDefault="00884D77" w:rsidP="00884D77">
      <w:pPr>
        <w:pStyle w:val="BodyText"/>
      </w:pPr>
    </w:p>
    <w:p w14:paraId="56ED936F" w14:textId="77777777" w:rsidR="00884D77" w:rsidRPr="00884D77" w:rsidRDefault="00884D77" w:rsidP="00884D77">
      <w:pPr>
        <w:pStyle w:val="BodyText"/>
      </w:pPr>
    </w:p>
    <w:tbl>
      <w:tblPr>
        <w:tblStyle w:val="RECtable1"/>
        <w:tblW w:w="0" w:type="auto"/>
        <w:tblLook w:val="04A0" w:firstRow="1" w:lastRow="0" w:firstColumn="1" w:lastColumn="0" w:noHBand="0" w:noVBand="1"/>
      </w:tblPr>
      <w:tblGrid>
        <w:gridCol w:w="3964"/>
        <w:gridCol w:w="5052"/>
      </w:tblGrid>
      <w:tr w:rsidR="00884D77" w:rsidRPr="00884D77" w14:paraId="52A1E2BC" w14:textId="77777777" w:rsidTr="00B601AA">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auto"/>
          </w:tcPr>
          <w:p w14:paraId="733E003C" w14:textId="77777777" w:rsidR="00884D77" w:rsidRPr="00884D77" w:rsidRDefault="00884D77" w:rsidP="00884D77">
            <w:pPr>
              <w:pStyle w:val="BodyText"/>
            </w:pPr>
            <w:r w:rsidRPr="00884D77">
              <w:t>Client name:</w:t>
            </w:r>
          </w:p>
          <w:p w14:paraId="2C9BE1C1" w14:textId="77777777" w:rsidR="00884D77" w:rsidRPr="00884D77" w:rsidRDefault="00884D77" w:rsidP="00884D77">
            <w:pPr>
              <w:pStyle w:val="BodyText"/>
            </w:pPr>
          </w:p>
        </w:tc>
        <w:tc>
          <w:tcPr>
            <w:tcW w:w="5052" w:type="dxa"/>
            <w:shd w:val="clear" w:color="auto" w:fill="auto"/>
          </w:tcPr>
          <w:p w14:paraId="73306893" w14:textId="77777777" w:rsidR="00884D77" w:rsidRPr="00884D77" w:rsidRDefault="00884D77" w:rsidP="00884D77">
            <w:pPr>
              <w:pStyle w:val="BodyText"/>
            </w:pPr>
            <w:r w:rsidRPr="00B601AA">
              <w:rPr>
                <w:highlight w:val="green"/>
              </w:rPr>
              <w:t>[insert client name]</w:t>
            </w:r>
          </w:p>
          <w:p w14:paraId="2328C9D6" w14:textId="77777777" w:rsidR="00884D77" w:rsidRPr="00884D77" w:rsidRDefault="00884D77" w:rsidP="00884D77">
            <w:pPr>
              <w:pStyle w:val="BodyText"/>
            </w:pPr>
            <w:r w:rsidRPr="00884D77">
              <w:t>“the Client”</w:t>
            </w:r>
          </w:p>
          <w:p w14:paraId="6ED3E916" w14:textId="77777777" w:rsidR="00884D77" w:rsidRPr="00884D77" w:rsidRDefault="00884D77" w:rsidP="00884D77">
            <w:pPr>
              <w:pStyle w:val="BodyText"/>
            </w:pPr>
          </w:p>
        </w:tc>
      </w:tr>
      <w:tr w:rsidR="00884D77" w:rsidRPr="00884D77" w14:paraId="352B98B5" w14:textId="77777777" w:rsidTr="00761BD2">
        <w:tc>
          <w:tcPr>
            <w:tcW w:w="3964" w:type="dxa"/>
          </w:tcPr>
          <w:p w14:paraId="278415F3" w14:textId="197E0914" w:rsidR="00884D77" w:rsidRPr="00884D77" w:rsidRDefault="00884D77" w:rsidP="00884D77">
            <w:pPr>
              <w:pStyle w:val="BodyText"/>
              <w:rPr>
                <w:b/>
              </w:rPr>
            </w:pPr>
            <w:r w:rsidRPr="00884D77">
              <w:rPr>
                <w:b/>
              </w:rPr>
              <w:t xml:space="preserve">Client registered </w:t>
            </w:r>
            <w:r w:rsidR="00761BD2">
              <w:rPr>
                <w:b/>
              </w:rPr>
              <w:t xml:space="preserve">company </w:t>
            </w:r>
            <w:r w:rsidRPr="00884D77">
              <w:rPr>
                <w:b/>
              </w:rPr>
              <w:t>number:</w:t>
            </w:r>
          </w:p>
          <w:p w14:paraId="114AC1FA" w14:textId="77777777" w:rsidR="00884D77" w:rsidRPr="00884D77" w:rsidRDefault="00884D77" w:rsidP="00884D77">
            <w:pPr>
              <w:pStyle w:val="BodyText"/>
              <w:rPr>
                <w:b/>
              </w:rPr>
            </w:pPr>
          </w:p>
        </w:tc>
        <w:tc>
          <w:tcPr>
            <w:tcW w:w="5052" w:type="dxa"/>
          </w:tcPr>
          <w:p w14:paraId="7C005E39" w14:textId="77777777" w:rsidR="00884D77" w:rsidRPr="00884D77" w:rsidRDefault="00884D77" w:rsidP="00884D77">
            <w:pPr>
              <w:pStyle w:val="BodyText"/>
            </w:pPr>
          </w:p>
        </w:tc>
      </w:tr>
      <w:tr w:rsidR="00884D77" w:rsidRPr="00884D77" w14:paraId="29DDBFBD" w14:textId="77777777" w:rsidTr="00761BD2">
        <w:tc>
          <w:tcPr>
            <w:tcW w:w="3964" w:type="dxa"/>
          </w:tcPr>
          <w:p w14:paraId="648E3616" w14:textId="77777777" w:rsidR="00884D77" w:rsidRPr="00884D77" w:rsidRDefault="00884D77" w:rsidP="00884D77">
            <w:pPr>
              <w:pStyle w:val="BodyText"/>
              <w:rPr>
                <w:b/>
              </w:rPr>
            </w:pPr>
            <w:r w:rsidRPr="00884D77">
              <w:rPr>
                <w:b/>
              </w:rPr>
              <w:t>Client registered address:</w:t>
            </w:r>
          </w:p>
          <w:p w14:paraId="3EBDDE22" w14:textId="77777777" w:rsidR="00884D77" w:rsidRPr="00884D77" w:rsidRDefault="00884D77" w:rsidP="00884D77">
            <w:pPr>
              <w:pStyle w:val="BodyText"/>
              <w:rPr>
                <w:b/>
              </w:rPr>
            </w:pPr>
          </w:p>
        </w:tc>
        <w:tc>
          <w:tcPr>
            <w:tcW w:w="5052" w:type="dxa"/>
          </w:tcPr>
          <w:p w14:paraId="14FF86A9" w14:textId="77777777" w:rsidR="00884D77" w:rsidRPr="00884D77" w:rsidRDefault="00884D77" w:rsidP="00884D77">
            <w:pPr>
              <w:pStyle w:val="BodyText"/>
            </w:pPr>
          </w:p>
        </w:tc>
      </w:tr>
      <w:tr w:rsidR="00884D77" w:rsidRPr="00884D77" w14:paraId="3694AE43" w14:textId="77777777" w:rsidTr="00761BD2">
        <w:tc>
          <w:tcPr>
            <w:tcW w:w="3964" w:type="dxa"/>
          </w:tcPr>
          <w:p w14:paraId="3B116DEF" w14:textId="77777777" w:rsidR="00884D77" w:rsidRPr="00884D77" w:rsidRDefault="00884D77" w:rsidP="00884D77">
            <w:pPr>
              <w:pStyle w:val="BodyText"/>
              <w:rPr>
                <w:b/>
              </w:rPr>
            </w:pPr>
            <w:r w:rsidRPr="00884D77">
              <w:rPr>
                <w:b/>
              </w:rPr>
              <w:t xml:space="preserve">Client trading address (if different): </w:t>
            </w:r>
          </w:p>
          <w:p w14:paraId="26B32D1D" w14:textId="77777777" w:rsidR="00884D77" w:rsidRPr="00884D77" w:rsidRDefault="00884D77" w:rsidP="00884D77">
            <w:pPr>
              <w:pStyle w:val="BodyText"/>
              <w:rPr>
                <w:b/>
              </w:rPr>
            </w:pPr>
          </w:p>
        </w:tc>
        <w:tc>
          <w:tcPr>
            <w:tcW w:w="5052" w:type="dxa"/>
          </w:tcPr>
          <w:p w14:paraId="42D6695B" w14:textId="77777777" w:rsidR="00884D77" w:rsidRPr="00884D77" w:rsidRDefault="00884D77" w:rsidP="00884D77">
            <w:pPr>
              <w:pStyle w:val="BodyText"/>
            </w:pPr>
          </w:p>
        </w:tc>
      </w:tr>
      <w:tr w:rsidR="00A02C40" w:rsidRPr="00884D77" w14:paraId="41169466" w14:textId="77777777" w:rsidTr="00761BD2">
        <w:tc>
          <w:tcPr>
            <w:tcW w:w="3964" w:type="dxa"/>
          </w:tcPr>
          <w:p w14:paraId="765068F7" w14:textId="13BBBBC4" w:rsidR="00A02C40" w:rsidRPr="00884D77" w:rsidRDefault="00A02C40" w:rsidP="00884D77">
            <w:pPr>
              <w:pStyle w:val="BodyText"/>
              <w:rPr>
                <w:b/>
              </w:rPr>
            </w:pPr>
            <w:r>
              <w:rPr>
                <w:b/>
              </w:rPr>
              <w:t>Name, role and contact details of Client contact:</w:t>
            </w:r>
          </w:p>
        </w:tc>
        <w:tc>
          <w:tcPr>
            <w:tcW w:w="5052" w:type="dxa"/>
          </w:tcPr>
          <w:p w14:paraId="05D7C112" w14:textId="77777777" w:rsidR="00A02C40" w:rsidRPr="00884D77" w:rsidRDefault="00A02C40" w:rsidP="00884D77">
            <w:pPr>
              <w:pStyle w:val="BodyText"/>
            </w:pPr>
          </w:p>
        </w:tc>
      </w:tr>
      <w:tr w:rsidR="00884D77" w:rsidRPr="00884D77" w14:paraId="5E51C68C" w14:textId="77777777" w:rsidTr="00B601AA">
        <w:tc>
          <w:tcPr>
            <w:tcW w:w="0" w:type="dxa"/>
            <w:gridSpan w:val="2"/>
            <w:shd w:val="clear" w:color="auto" w:fill="DADDF7" w:themeFill="text1" w:themeFillTint="1A"/>
          </w:tcPr>
          <w:p w14:paraId="00EE10E4" w14:textId="21882188" w:rsidR="00884D77" w:rsidRPr="00884D77" w:rsidRDefault="00884D77" w:rsidP="00884D77">
            <w:pPr>
              <w:pStyle w:val="BodyText"/>
              <w:rPr>
                <w:b/>
              </w:rPr>
            </w:pPr>
            <w:r w:rsidRPr="00884D77">
              <w:rPr>
                <w:b/>
              </w:rPr>
              <w:t xml:space="preserve">Assignment </w:t>
            </w:r>
            <w:r w:rsidR="00B4194A">
              <w:rPr>
                <w:b/>
              </w:rPr>
              <w:t>to which this status determination statement relates</w:t>
            </w:r>
          </w:p>
          <w:p w14:paraId="480AB86B" w14:textId="77777777" w:rsidR="00884D77" w:rsidRPr="00884D77" w:rsidRDefault="00884D77" w:rsidP="00884D77">
            <w:pPr>
              <w:pStyle w:val="BodyText"/>
            </w:pPr>
          </w:p>
        </w:tc>
      </w:tr>
      <w:tr w:rsidR="00884D77" w:rsidRPr="00884D77" w14:paraId="54CDE99C" w14:textId="77777777" w:rsidTr="00761BD2">
        <w:tc>
          <w:tcPr>
            <w:tcW w:w="3964" w:type="dxa"/>
          </w:tcPr>
          <w:p w14:paraId="023AE0D3" w14:textId="77777777" w:rsidR="00884D77" w:rsidRPr="00884D77" w:rsidRDefault="00884D77" w:rsidP="00884D77">
            <w:pPr>
              <w:pStyle w:val="BodyText"/>
              <w:rPr>
                <w:b/>
              </w:rPr>
            </w:pPr>
            <w:r w:rsidRPr="00884D77">
              <w:rPr>
                <w:b/>
              </w:rPr>
              <w:t>Off-payroll worker’s name (where known):</w:t>
            </w:r>
          </w:p>
          <w:p w14:paraId="27CFAAB6" w14:textId="77777777" w:rsidR="00884D77" w:rsidRPr="00884D77" w:rsidRDefault="00884D77" w:rsidP="00884D77">
            <w:pPr>
              <w:pStyle w:val="BodyText"/>
              <w:rPr>
                <w:b/>
              </w:rPr>
            </w:pPr>
          </w:p>
        </w:tc>
        <w:tc>
          <w:tcPr>
            <w:tcW w:w="5052" w:type="dxa"/>
          </w:tcPr>
          <w:p w14:paraId="64D4DA77" w14:textId="77777777" w:rsidR="00884D77" w:rsidRPr="00884D77" w:rsidRDefault="00884D77" w:rsidP="00884D77">
            <w:pPr>
              <w:pStyle w:val="BodyText"/>
            </w:pPr>
          </w:p>
        </w:tc>
      </w:tr>
      <w:tr w:rsidR="00884D77" w:rsidRPr="00884D77" w14:paraId="00DA1455" w14:textId="77777777" w:rsidTr="00761BD2">
        <w:tc>
          <w:tcPr>
            <w:tcW w:w="3964" w:type="dxa"/>
          </w:tcPr>
          <w:p w14:paraId="7A87F277" w14:textId="77777777" w:rsidR="00884D77" w:rsidRPr="00884D77" w:rsidRDefault="00884D77" w:rsidP="00884D77">
            <w:pPr>
              <w:pStyle w:val="BodyText"/>
              <w:rPr>
                <w:b/>
              </w:rPr>
            </w:pPr>
            <w:r w:rsidRPr="00884D77">
              <w:rPr>
                <w:b/>
              </w:rPr>
              <w:t>Intermediary through which the off-payroll worker provides their services to the client via the employment business (if known):</w:t>
            </w:r>
          </w:p>
          <w:p w14:paraId="4C6DB58B" w14:textId="77777777" w:rsidR="00884D77" w:rsidRPr="00884D77" w:rsidRDefault="00884D77" w:rsidP="00884D77">
            <w:pPr>
              <w:pStyle w:val="BodyText"/>
              <w:rPr>
                <w:b/>
              </w:rPr>
            </w:pPr>
          </w:p>
        </w:tc>
        <w:tc>
          <w:tcPr>
            <w:tcW w:w="5052" w:type="dxa"/>
          </w:tcPr>
          <w:p w14:paraId="27DA6825" w14:textId="21451B4F" w:rsidR="00884D77" w:rsidRPr="00884D77" w:rsidRDefault="0019583F" w:rsidP="00884D77">
            <w:pPr>
              <w:pStyle w:val="BodyText"/>
            </w:pPr>
            <w:r w:rsidRPr="00B601AA">
              <w:rPr>
                <w:highlight w:val="green"/>
              </w:rPr>
              <w:t>[insert details of personal service company or partnership the off-payroll worker will provide their services through - name and company no.]</w:t>
            </w:r>
          </w:p>
        </w:tc>
      </w:tr>
      <w:tr w:rsidR="00884D77" w:rsidRPr="00884D77" w14:paraId="0A2AE4D2" w14:textId="77777777" w:rsidTr="00761BD2">
        <w:tc>
          <w:tcPr>
            <w:tcW w:w="3964" w:type="dxa"/>
          </w:tcPr>
          <w:p w14:paraId="494ABFE5" w14:textId="77777777" w:rsidR="00884D77" w:rsidRPr="00884D77" w:rsidRDefault="00884D77" w:rsidP="00884D77">
            <w:pPr>
              <w:pStyle w:val="BodyText"/>
              <w:rPr>
                <w:b/>
              </w:rPr>
            </w:pPr>
            <w:r w:rsidRPr="00884D77">
              <w:rPr>
                <w:b/>
              </w:rPr>
              <w:t>Assignment description “the Assignment”:</w:t>
            </w:r>
          </w:p>
          <w:p w14:paraId="53B084D1" w14:textId="77777777" w:rsidR="00884D77" w:rsidRPr="00884D77" w:rsidRDefault="00884D77" w:rsidP="00884D77">
            <w:pPr>
              <w:pStyle w:val="BodyText"/>
              <w:rPr>
                <w:b/>
              </w:rPr>
            </w:pPr>
          </w:p>
        </w:tc>
        <w:tc>
          <w:tcPr>
            <w:tcW w:w="5052" w:type="dxa"/>
          </w:tcPr>
          <w:p w14:paraId="553105EF" w14:textId="77777777" w:rsidR="00884D77" w:rsidRDefault="00884D77" w:rsidP="00884D77">
            <w:pPr>
              <w:pStyle w:val="BodyText"/>
            </w:pPr>
          </w:p>
          <w:p w14:paraId="05E7674B" w14:textId="77777777" w:rsidR="008A747D" w:rsidRDefault="008A747D" w:rsidP="00884D77">
            <w:pPr>
              <w:pStyle w:val="BodyText"/>
            </w:pPr>
          </w:p>
          <w:p w14:paraId="53B9D3EE" w14:textId="77777777" w:rsidR="008A747D" w:rsidRDefault="008A747D" w:rsidP="00884D77">
            <w:pPr>
              <w:pStyle w:val="BodyText"/>
            </w:pPr>
          </w:p>
          <w:p w14:paraId="0A42F78B" w14:textId="77777777" w:rsidR="008A747D" w:rsidRDefault="008A747D" w:rsidP="00884D77">
            <w:pPr>
              <w:pStyle w:val="BodyText"/>
            </w:pPr>
          </w:p>
          <w:p w14:paraId="3AB4C0F9" w14:textId="77777777" w:rsidR="008A747D" w:rsidRDefault="008A747D" w:rsidP="00884D77">
            <w:pPr>
              <w:pStyle w:val="BodyText"/>
            </w:pPr>
          </w:p>
          <w:p w14:paraId="34F0DD0C" w14:textId="77777777" w:rsidR="008A747D" w:rsidRDefault="008A747D" w:rsidP="00884D77">
            <w:pPr>
              <w:pStyle w:val="BodyText"/>
            </w:pPr>
          </w:p>
          <w:p w14:paraId="35E415F3" w14:textId="435BD46B" w:rsidR="008A747D" w:rsidRPr="00884D77" w:rsidRDefault="008A747D" w:rsidP="00884D77">
            <w:pPr>
              <w:pStyle w:val="BodyText"/>
            </w:pPr>
          </w:p>
        </w:tc>
      </w:tr>
      <w:tr w:rsidR="00A02C40" w:rsidRPr="00884D77" w14:paraId="16854803" w14:textId="77777777" w:rsidTr="00761BD2">
        <w:tc>
          <w:tcPr>
            <w:tcW w:w="3964" w:type="dxa"/>
          </w:tcPr>
          <w:p w14:paraId="6BC7447B" w14:textId="1CFEF89A" w:rsidR="00A02C40" w:rsidRPr="00884D77" w:rsidRDefault="00A02C40" w:rsidP="00884D77">
            <w:pPr>
              <w:pStyle w:val="BodyText"/>
              <w:rPr>
                <w:b/>
              </w:rPr>
            </w:pPr>
            <w:r>
              <w:rPr>
                <w:b/>
              </w:rPr>
              <w:t>Date of status determination statement provided by the Client:</w:t>
            </w:r>
          </w:p>
        </w:tc>
        <w:tc>
          <w:tcPr>
            <w:tcW w:w="5052" w:type="dxa"/>
          </w:tcPr>
          <w:p w14:paraId="569B1519" w14:textId="77777777" w:rsidR="00A02C40" w:rsidRDefault="00A02C40" w:rsidP="00884D77">
            <w:pPr>
              <w:pStyle w:val="BodyText"/>
            </w:pPr>
          </w:p>
        </w:tc>
      </w:tr>
    </w:tbl>
    <w:p w14:paraId="4AF1EFDE" w14:textId="77777777" w:rsidR="00884D77" w:rsidRPr="00884D77" w:rsidRDefault="00884D77" w:rsidP="00884D77">
      <w:pPr>
        <w:pStyle w:val="BodyText"/>
      </w:pPr>
    </w:p>
    <w:p w14:paraId="463A3497" w14:textId="77777777" w:rsidR="00A02C40" w:rsidRDefault="00A02C40">
      <w:pPr>
        <w:rPr>
          <w:rFonts w:ascii="Lato" w:hAnsi="Lato"/>
          <w:color w:val="5974D4"/>
          <w14:ligatures w14:val="standard"/>
        </w:rPr>
      </w:pPr>
      <w:r>
        <w:br w:type="page"/>
      </w:r>
    </w:p>
    <w:p w14:paraId="3E8BE460" w14:textId="53A3993A" w:rsidR="00884D77" w:rsidRDefault="00884D77" w:rsidP="00E5042E">
      <w:pPr>
        <w:pStyle w:val="Heading3"/>
        <w:numPr>
          <w:ilvl w:val="0"/>
          <w:numId w:val="0"/>
        </w:numPr>
        <w:ind w:left="720" w:hanging="720"/>
      </w:pPr>
      <w:r w:rsidRPr="00884D77">
        <w:lastRenderedPageBreak/>
        <w:t xml:space="preserve">Status determination decision:  </w:t>
      </w:r>
    </w:p>
    <w:p w14:paraId="325FF2D2" w14:textId="77777777" w:rsidR="00E5042E" w:rsidRPr="00E5042E" w:rsidRDefault="00E5042E" w:rsidP="00E5042E">
      <w:pPr>
        <w:pStyle w:val="BodyText"/>
      </w:pPr>
    </w:p>
    <w:p w14:paraId="17C510B8" w14:textId="77777777" w:rsidR="00884D77" w:rsidRPr="00884D77" w:rsidRDefault="00884D77" w:rsidP="00884D77">
      <w:pPr>
        <w:pStyle w:val="BodyText"/>
      </w:pPr>
      <w:r w:rsidRPr="00884D77">
        <w:t xml:space="preserve">The Client has determined that: </w:t>
      </w:r>
    </w:p>
    <w:p w14:paraId="7E1F0E26" w14:textId="77777777" w:rsidR="00884D77" w:rsidRPr="00884D77" w:rsidRDefault="00884D77" w:rsidP="00884D77">
      <w:pPr>
        <w:pStyle w:val="BodyText"/>
      </w:pPr>
    </w:p>
    <w:tbl>
      <w:tblPr>
        <w:tblStyle w:val="RECtable1"/>
        <w:tblW w:w="0" w:type="auto"/>
        <w:tblLook w:val="0480" w:firstRow="0" w:lastRow="0" w:firstColumn="1" w:lastColumn="0" w:noHBand="0" w:noVBand="1"/>
      </w:tblPr>
      <w:tblGrid>
        <w:gridCol w:w="8075"/>
        <w:gridCol w:w="941"/>
      </w:tblGrid>
      <w:tr w:rsidR="00884D77" w:rsidRPr="00884D77" w14:paraId="58BB3C50" w14:textId="77777777" w:rsidTr="00E5042E">
        <w:tc>
          <w:tcPr>
            <w:tcW w:w="8075" w:type="dxa"/>
          </w:tcPr>
          <w:p w14:paraId="1CEA8740" w14:textId="3DA0D143" w:rsidR="00884D77" w:rsidRPr="00884D77" w:rsidRDefault="00884D77" w:rsidP="00884D77">
            <w:pPr>
              <w:pStyle w:val="BodyText"/>
            </w:pPr>
            <w:r w:rsidRPr="00884D77">
              <w:t>The off-payroll rules do apply to the Assignment</w:t>
            </w:r>
            <w:r w:rsidR="00F9155F">
              <w:t xml:space="preserve">, </w:t>
            </w:r>
            <w:r w:rsidRPr="00884D77">
              <w:t xml:space="preserve">i.e. the Assignment is </w:t>
            </w:r>
            <w:r w:rsidR="00B4194A">
              <w:t>'</w:t>
            </w:r>
            <w:r w:rsidRPr="00884D77">
              <w:t>Inside IR35</w:t>
            </w:r>
            <w:r w:rsidR="00B4194A">
              <w:t>'</w:t>
            </w:r>
          </w:p>
        </w:tc>
        <w:tc>
          <w:tcPr>
            <w:tcW w:w="941" w:type="dxa"/>
          </w:tcPr>
          <w:p w14:paraId="6C5374F8" w14:textId="77777777" w:rsidR="00884D77" w:rsidRPr="00B601AA" w:rsidRDefault="00884D77" w:rsidP="00E5042E">
            <w:pPr>
              <w:pStyle w:val="BodyText"/>
              <w:jc w:val="center"/>
              <w:rPr>
                <w:sz w:val="48"/>
                <w:szCs w:val="48"/>
              </w:rPr>
            </w:pPr>
            <w:r w:rsidRPr="00B601AA">
              <w:rPr>
                <w:sz w:val="48"/>
                <w:szCs w:val="48"/>
              </w:rPr>
              <w:t>□</w:t>
            </w:r>
          </w:p>
        </w:tc>
      </w:tr>
      <w:tr w:rsidR="00884D77" w:rsidRPr="00884D77" w14:paraId="56605C4F" w14:textId="77777777" w:rsidTr="00E5042E">
        <w:tc>
          <w:tcPr>
            <w:tcW w:w="8075" w:type="dxa"/>
          </w:tcPr>
          <w:p w14:paraId="2205AA66" w14:textId="64D642FE" w:rsidR="00884D77" w:rsidRPr="00884D77" w:rsidRDefault="00884D77" w:rsidP="00884D77">
            <w:pPr>
              <w:pStyle w:val="BodyText"/>
            </w:pPr>
            <w:r w:rsidRPr="00884D77">
              <w:t>The off-payroll rules do not apply to the Assignment</w:t>
            </w:r>
            <w:r w:rsidR="00F9155F">
              <w:t xml:space="preserve">, </w:t>
            </w:r>
            <w:r w:rsidRPr="00884D77">
              <w:t xml:space="preserve">i.e. the Assignment is </w:t>
            </w:r>
            <w:r w:rsidR="00B4194A">
              <w:t>'</w:t>
            </w:r>
            <w:r w:rsidRPr="00884D77">
              <w:t>Outside IR35</w:t>
            </w:r>
            <w:r w:rsidR="00B4194A">
              <w:t>'</w:t>
            </w:r>
          </w:p>
        </w:tc>
        <w:tc>
          <w:tcPr>
            <w:tcW w:w="941" w:type="dxa"/>
          </w:tcPr>
          <w:p w14:paraId="4E66BCA8" w14:textId="51F67999" w:rsidR="00884D77" w:rsidRPr="00884D77" w:rsidRDefault="00A02C40" w:rsidP="00E5042E">
            <w:pPr>
              <w:pStyle w:val="BodyText"/>
              <w:jc w:val="center"/>
            </w:pPr>
            <w:r w:rsidRPr="00015F9D">
              <w:rPr>
                <w:rFonts w:ascii="Arial" w:hAnsi="Arial" w:cs="Arial"/>
                <w:sz w:val="48"/>
                <w:szCs w:val="48"/>
              </w:rPr>
              <w:t>□</w:t>
            </w:r>
          </w:p>
        </w:tc>
      </w:tr>
    </w:tbl>
    <w:p w14:paraId="49C23663" w14:textId="77777777" w:rsidR="00884D77" w:rsidRPr="00884D77" w:rsidRDefault="00884D77" w:rsidP="00884D77">
      <w:pPr>
        <w:pStyle w:val="BodyText"/>
      </w:pPr>
    </w:p>
    <w:p w14:paraId="3AAD5F30" w14:textId="77777777" w:rsidR="00884D77" w:rsidRPr="00884D77" w:rsidRDefault="00884D77" w:rsidP="00884D77">
      <w:pPr>
        <w:pStyle w:val="BodyText"/>
      </w:pPr>
      <w:r w:rsidRPr="00884D77">
        <w:t xml:space="preserve">Tick as appropriate. </w:t>
      </w:r>
    </w:p>
    <w:p w14:paraId="5CD9B040" w14:textId="474746F6" w:rsidR="00884D77" w:rsidRDefault="00884D77" w:rsidP="00B8503E">
      <w:pPr>
        <w:pStyle w:val="Heading3"/>
        <w:numPr>
          <w:ilvl w:val="0"/>
          <w:numId w:val="0"/>
        </w:numPr>
        <w:ind w:left="720" w:hanging="720"/>
      </w:pPr>
      <w:r w:rsidRPr="00884D77">
        <w:t xml:space="preserve">Reasons for the Client’s status determination decision:  </w:t>
      </w:r>
    </w:p>
    <w:p w14:paraId="05A70A74" w14:textId="77777777" w:rsidR="001522E6" w:rsidRPr="001522E6" w:rsidRDefault="001522E6" w:rsidP="001522E6">
      <w:pPr>
        <w:pStyle w:val="BodyText"/>
      </w:pPr>
    </w:p>
    <w:p w14:paraId="52220001" w14:textId="77777777" w:rsidR="00C80901" w:rsidRDefault="00884D77" w:rsidP="00884D77">
      <w:pPr>
        <w:pStyle w:val="BodyText"/>
      </w:pPr>
      <w:r w:rsidRPr="00884D77">
        <w:t xml:space="preserve">The Client’s reasons for this </w:t>
      </w:r>
      <w:r w:rsidR="00B4194A">
        <w:t xml:space="preserve">status </w:t>
      </w:r>
      <w:r w:rsidRPr="00884D77">
        <w:t xml:space="preserve">determination are: </w:t>
      </w:r>
    </w:p>
    <w:p w14:paraId="77622FD0" w14:textId="77777777" w:rsidR="00C80901" w:rsidRDefault="00C80901" w:rsidP="00884D77">
      <w:pPr>
        <w:pStyle w:val="BodyText"/>
      </w:pPr>
    </w:p>
    <w:tbl>
      <w:tblPr>
        <w:tblStyle w:val="RECtable1"/>
        <w:tblW w:w="0" w:type="auto"/>
        <w:tblLook w:val="04A0" w:firstRow="1" w:lastRow="0" w:firstColumn="1" w:lastColumn="0" w:noHBand="0" w:noVBand="1"/>
      </w:tblPr>
      <w:tblGrid>
        <w:gridCol w:w="9016"/>
      </w:tblGrid>
      <w:tr w:rsidR="00C80901" w14:paraId="589B3967" w14:textId="77777777" w:rsidTr="00C80901">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auto"/>
          </w:tcPr>
          <w:p w14:paraId="2B177713" w14:textId="77777777" w:rsidR="00C80901" w:rsidRPr="00C80901" w:rsidRDefault="00C80901" w:rsidP="00C80901">
            <w:pPr>
              <w:pStyle w:val="BodyText"/>
              <w:rPr>
                <w:b w:val="0"/>
                <w:bCs/>
              </w:rPr>
            </w:pPr>
            <w:r w:rsidRPr="00C80901">
              <w:rPr>
                <w:b w:val="0"/>
                <w:bCs/>
                <w:highlight w:val="lightGray"/>
              </w:rPr>
              <w:t>[the Client must state how it came to this decision, e.g. Client could include a date stamped PDF of the results from CEST or another review tool or audit]</w:t>
            </w:r>
          </w:p>
          <w:p w14:paraId="2A6DFD4D" w14:textId="77777777" w:rsidR="00C80901" w:rsidRDefault="00C80901" w:rsidP="00884D77">
            <w:pPr>
              <w:pStyle w:val="BodyText"/>
              <w:rPr>
                <w:highlight w:val="lightGray"/>
              </w:rPr>
            </w:pPr>
          </w:p>
        </w:tc>
      </w:tr>
    </w:tbl>
    <w:p w14:paraId="34A1E37C" w14:textId="77777777" w:rsidR="00884D77" w:rsidRPr="00884D77" w:rsidRDefault="00884D77" w:rsidP="00884D77">
      <w:pPr>
        <w:pStyle w:val="BodyText"/>
      </w:pPr>
    </w:p>
    <w:p w14:paraId="58AF7226" w14:textId="77777777" w:rsidR="000C7A0E" w:rsidRDefault="000C7A0E" w:rsidP="00884D77">
      <w:pPr>
        <w:pStyle w:val="BodyText"/>
        <w:rPr>
          <w:b/>
        </w:rPr>
      </w:pPr>
    </w:p>
    <w:p w14:paraId="105ED778" w14:textId="422E8443" w:rsidR="00884D77" w:rsidRPr="00884D77" w:rsidRDefault="00884D77" w:rsidP="00884D77">
      <w:pPr>
        <w:pStyle w:val="BodyText"/>
      </w:pPr>
      <w:r w:rsidRPr="00884D77">
        <w:t xml:space="preserve">The Client </w:t>
      </w:r>
      <w:r w:rsidR="0019583F">
        <w:t>acknowledges</w:t>
      </w:r>
      <w:r w:rsidR="0019583F" w:rsidRPr="00884D77">
        <w:t xml:space="preserve"> </w:t>
      </w:r>
      <w:r w:rsidRPr="00884D77">
        <w:t xml:space="preserve">that if it decides that this status determination decision is incorrect, the Client must withdraw this statement and provide another with immediate effect. </w:t>
      </w:r>
    </w:p>
    <w:p w14:paraId="217CC414" w14:textId="77777777" w:rsidR="00884D77" w:rsidRPr="00884D77" w:rsidRDefault="00884D77" w:rsidP="00884D77">
      <w:pPr>
        <w:pStyle w:val="BodyText"/>
      </w:pPr>
    </w:p>
    <w:p w14:paraId="4A7AF08F" w14:textId="0352F0B0" w:rsidR="00884D77" w:rsidRPr="00884D77" w:rsidRDefault="00884D77" w:rsidP="00884D77">
      <w:pPr>
        <w:pStyle w:val="BodyText"/>
      </w:pPr>
      <w:r w:rsidRPr="00884D77">
        <w:t xml:space="preserve">The Client also </w:t>
      </w:r>
      <w:r w:rsidR="0019583F">
        <w:t>acknowledges</w:t>
      </w:r>
      <w:r w:rsidR="0019583F" w:rsidRPr="00884D77">
        <w:t xml:space="preserve"> </w:t>
      </w:r>
      <w:r w:rsidRPr="00884D77">
        <w:t xml:space="preserve">that if the Client’s </w:t>
      </w:r>
      <w:r w:rsidR="00A02C40">
        <w:t xml:space="preserve">becomes exempt from Part 2 </w:t>
      </w:r>
      <w:r w:rsidRPr="00884D77">
        <w:t xml:space="preserve">Chapter 10 ITEPA, the client must withdraw this </w:t>
      </w:r>
      <w:r w:rsidR="00A02C40">
        <w:t xml:space="preserve">status determination </w:t>
      </w:r>
      <w:r w:rsidRPr="00884D77">
        <w:t>statement.</w:t>
      </w:r>
    </w:p>
    <w:p w14:paraId="696B67C0" w14:textId="77777777" w:rsidR="00884D77" w:rsidRPr="00884D77" w:rsidRDefault="00884D77" w:rsidP="00884D77">
      <w:pPr>
        <w:pStyle w:val="BodyText"/>
      </w:pPr>
    </w:p>
    <w:p w14:paraId="58782DBB" w14:textId="77777777" w:rsidR="00884D77" w:rsidRPr="00884D77" w:rsidRDefault="00884D77" w:rsidP="00884D77">
      <w:pPr>
        <w:pStyle w:val="BodyText"/>
        <w:rPr>
          <w:b/>
          <w:color w:val="141D60" w:themeColor="text1" w:themeTint="E6"/>
        </w:rPr>
      </w:pPr>
      <w:r w:rsidRPr="00884D77">
        <w:rPr>
          <w:b/>
          <w:color w:val="141D60" w:themeColor="text1" w:themeTint="E6"/>
        </w:rPr>
        <w:t xml:space="preserve">The Client must satisfy itself as to when and how Part 2 Chapter 10 ITEPA applies to its own business and to any and all assignments.   </w:t>
      </w:r>
    </w:p>
    <w:p w14:paraId="157F37E0" w14:textId="241AF0B2" w:rsidR="00884D77" w:rsidRDefault="00884D77" w:rsidP="00884D77">
      <w:pPr>
        <w:pStyle w:val="BodyText"/>
      </w:pPr>
    </w:p>
    <w:bookmarkEnd w:id="0"/>
    <w:p w14:paraId="31E5DECF" w14:textId="77777777" w:rsidR="0048000F" w:rsidRDefault="0048000F" w:rsidP="0048000F"/>
    <w:tbl>
      <w:tblPr>
        <w:tblStyle w:val="RECtable1"/>
        <w:tblW w:w="8926" w:type="dxa"/>
        <w:tblLook w:val="0480" w:firstRow="0" w:lastRow="0" w:firstColumn="1" w:lastColumn="0" w:noHBand="0" w:noVBand="1"/>
      </w:tblPr>
      <w:tblGrid>
        <w:gridCol w:w="2830"/>
        <w:gridCol w:w="6096"/>
      </w:tblGrid>
      <w:tr w:rsidR="0048000F" w14:paraId="791F8E15" w14:textId="77777777" w:rsidTr="0048000F">
        <w:tc>
          <w:tcPr>
            <w:tcW w:w="2830"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5AA17CA5" w14:textId="77777777" w:rsidR="0048000F" w:rsidRDefault="0048000F">
            <w:pPr>
              <w:ind w:right="284"/>
              <w:rPr>
                <w:rFonts w:ascii="Lato" w:hAnsi="Lato"/>
                <w:b/>
              </w:rPr>
            </w:pPr>
            <w:r>
              <w:rPr>
                <w:rFonts w:ascii="Lato" w:hAnsi="Lato"/>
                <w:b/>
              </w:rPr>
              <w:t xml:space="preserve">Signature: </w:t>
            </w:r>
          </w:p>
          <w:p w14:paraId="0037B0CB" w14:textId="77777777" w:rsidR="0048000F" w:rsidRDefault="0048000F"/>
        </w:tc>
        <w:tc>
          <w:tcPr>
            <w:tcW w:w="6096"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73860FF8" w14:textId="77777777" w:rsidR="0048000F" w:rsidRDefault="0048000F"/>
        </w:tc>
      </w:tr>
      <w:tr w:rsidR="0048000F" w14:paraId="7FA32D67" w14:textId="77777777" w:rsidTr="0048000F">
        <w:tc>
          <w:tcPr>
            <w:tcW w:w="2830"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4A9AC6EC" w14:textId="77777777" w:rsidR="0048000F" w:rsidRDefault="0048000F">
            <w:pPr>
              <w:ind w:right="284"/>
              <w:rPr>
                <w:rFonts w:ascii="Lato" w:hAnsi="Lato"/>
                <w:b/>
              </w:rPr>
            </w:pPr>
            <w:r>
              <w:rPr>
                <w:rFonts w:ascii="Lato" w:hAnsi="Lato"/>
                <w:b/>
              </w:rPr>
              <w:t>Name:</w:t>
            </w:r>
          </w:p>
          <w:p w14:paraId="2ECE18FD" w14:textId="77777777" w:rsidR="0048000F" w:rsidRDefault="0048000F"/>
        </w:tc>
        <w:tc>
          <w:tcPr>
            <w:tcW w:w="6096"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33A15FCD" w14:textId="77777777" w:rsidR="0048000F" w:rsidRDefault="0048000F">
            <w:pPr>
              <w:ind w:right="284"/>
              <w:rPr>
                <w:rFonts w:ascii="Lato" w:hAnsi="Lato"/>
                <w:b/>
              </w:rPr>
            </w:pPr>
            <w:r>
              <w:rPr>
                <w:rFonts w:ascii="Lato" w:hAnsi="Lato"/>
              </w:rPr>
              <w:t>(Please print)</w:t>
            </w:r>
          </w:p>
          <w:p w14:paraId="50E516A9" w14:textId="77777777" w:rsidR="0048000F" w:rsidRDefault="0048000F"/>
        </w:tc>
      </w:tr>
      <w:tr w:rsidR="0048000F" w14:paraId="4EEE8E6C" w14:textId="77777777" w:rsidTr="0048000F">
        <w:tc>
          <w:tcPr>
            <w:tcW w:w="2830"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3211CAB8" w14:textId="77777777" w:rsidR="0048000F" w:rsidRDefault="0048000F">
            <w:pPr>
              <w:ind w:right="284"/>
              <w:rPr>
                <w:rFonts w:ascii="Lato" w:hAnsi="Lato"/>
                <w:b/>
              </w:rPr>
            </w:pPr>
            <w:r>
              <w:rPr>
                <w:rFonts w:ascii="Lato" w:hAnsi="Lato"/>
                <w:b/>
              </w:rPr>
              <w:t>Position at Client:</w:t>
            </w:r>
          </w:p>
          <w:p w14:paraId="6F9AC9E3" w14:textId="77777777" w:rsidR="0048000F" w:rsidRDefault="0048000F"/>
        </w:tc>
        <w:tc>
          <w:tcPr>
            <w:tcW w:w="6096"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203FE986" w14:textId="77777777" w:rsidR="0048000F" w:rsidRDefault="0048000F"/>
        </w:tc>
      </w:tr>
      <w:tr w:rsidR="0048000F" w14:paraId="76DC0C2F" w14:textId="77777777" w:rsidTr="0048000F">
        <w:trPr>
          <w:trHeight w:val="17"/>
        </w:trPr>
        <w:tc>
          <w:tcPr>
            <w:tcW w:w="2830"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30DAAFC9" w14:textId="77777777" w:rsidR="0048000F" w:rsidRDefault="0048000F">
            <w:pPr>
              <w:ind w:right="284"/>
              <w:rPr>
                <w:rFonts w:ascii="Lato" w:hAnsi="Lato"/>
                <w:b/>
              </w:rPr>
            </w:pPr>
            <w:r>
              <w:rPr>
                <w:rFonts w:ascii="Lato" w:hAnsi="Lato"/>
                <w:b/>
              </w:rPr>
              <w:t>Date:</w:t>
            </w:r>
          </w:p>
          <w:p w14:paraId="509670BC" w14:textId="77777777" w:rsidR="0048000F" w:rsidRDefault="0048000F"/>
        </w:tc>
        <w:tc>
          <w:tcPr>
            <w:tcW w:w="6096"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366FB769" w14:textId="77777777" w:rsidR="0048000F" w:rsidRDefault="0048000F"/>
        </w:tc>
      </w:tr>
    </w:tbl>
    <w:p w14:paraId="72CC6D7E" w14:textId="77777777" w:rsidR="0048000F" w:rsidRDefault="0048000F" w:rsidP="0048000F"/>
    <w:p w14:paraId="5E8B4049" w14:textId="241F1038" w:rsidR="00A02C40" w:rsidRDefault="00A02C40">
      <w:pPr>
        <w:rPr>
          <w:rFonts w:ascii="Lato" w:hAnsi="Lato"/>
          <w:sz w:val="20"/>
          <w:szCs w:val="20"/>
          <w14:ligatures w14:val="standard"/>
        </w:rPr>
      </w:pPr>
      <w:r>
        <w:br w:type="page"/>
      </w:r>
    </w:p>
    <w:p w14:paraId="08267749" w14:textId="46BAF121" w:rsidR="00A02C40" w:rsidRDefault="00A02C40" w:rsidP="002A266A">
      <w:pPr>
        <w:pStyle w:val="BodyText"/>
      </w:pPr>
    </w:p>
    <w:tbl>
      <w:tblPr>
        <w:tblStyle w:val="RECtable1"/>
        <w:tblW w:w="0" w:type="auto"/>
        <w:tblLook w:val="04A0" w:firstRow="1" w:lastRow="0" w:firstColumn="1" w:lastColumn="0" w:noHBand="0" w:noVBand="1"/>
      </w:tblPr>
      <w:tblGrid>
        <w:gridCol w:w="3114"/>
        <w:gridCol w:w="5902"/>
      </w:tblGrid>
      <w:tr w:rsidR="00DB3BAC" w14:paraId="6675553B" w14:textId="77777777" w:rsidTr="00E92DDE">
        <w:trPr>
          <w:cnfStyle w:val="100000000000" w:firstRow="1" w:lastRow="0" w:firstColumn="0" w:lastColumn="0" w:oddVBand="0" w:evenVBand="0" w:oddHBand="0" w:evenHBand="0" w:firstRowFirstColumn="0" w:firstRowLastColumn="0" w:lastRowFirstColumn="0" w:lastRowLastColumn="0"/>
        </w:trPr>
        <w:tc>
          <w:tcPr>
            <w:tcW w:w="9016" w:type="dxa"/>
            <w:gridSpan w:val="2"/>
            <w:shd w:val="clear" w:color="auto" w:fill="auto"/>
          </w:tcPr>
          <w:p w14:paraId="3E53B6FD" w14:textId="2E3F4A9F" w:rsidR="00DB3BAC" w:rsidRPr="00DB3BAC" w:rsidRDefault="00DB3BAC" w:rsidP="00DB3BAC">
            <w:pPr>
              <w:pStyle w:val="BodyText"/>
              <w:rPr>
                <w:bCs/>
              </w:rPr>
            </w:pPr>
            <w:r w:rsidRPr="00DB3BAC">
              <w:rPr>
                <w:bCs/>
              </w:rPr>
              <w:t>Amendments to V</w:t>
            </w:r>
            <w:r>
              <w:rPr>
                <w:bCs/>
              </w:rPr>
              <w:t>2</w:t>
            </w:r>
            <w:r w:rsidRPr="00DB3BAC">
              <w:rPr>
                <w:bCs/>
              </w:rPr>
              <w:t xml:space="preserve"> (</w:t>
            </w:r>
            <w:r>
              <w:rPr>
                <w:bCs/>
              </w:rPr>
              <w:t>March</w:t>
            </w:r>
            <w:r w:rsidRPr="00DB3BAC">
              <w:rPr>
                <w:bCs/>
              </w:rPr>
              <w:t xml:space="preserve"> 202</w:t>
            </w:r>
            <w:r>
              <w:rPr>
                <w:bCs/>
              </w:rPr>
              <w:t>1</w:t>
            </w:r>
            <w:r w:rsidRPr="00DB3BAC">
              <w:rPr>
                <w:bCs/>
              </w:rPr>
              <w:t xml:space="preserve">) </w:t>
            </w:r>
          </w:p>
          <w:p w14:paraId="038A29E1" w14:textId="77777777" w:rsidR="00DB3BAC" w:rsidRPr="00DB3BAC" w:rsidRDefault="00DB3BAC" w:rsidP="00DB3BAC">
            <w:pPr>
              <w:pStyle w:val="BodyText"/>
              <w:rPr>
                <w:b w:val="0"/>
                <w:bCs/>
              </w:rPr>
            </w:pPr>
          </w:p>
        </w:tc>
      </w:tr>
      <w:tr w:rsidR="00DB3BAC" w14:paraId="4666E016" w14:textId="77777777" w:rsidTr="00E92DDE">
        <w:tc>
          <w:tcPr>
            <w:tcW w:w="9016" w:type="dxa"/>
            <w:gridSpan w:val="2"/>
            <w:shd w:val="clear" w:color="auto" w:fill="auto"/>
          </w:tcPr>
          <w:p w14:paraId="69964F23" w14:textId="1AF281E8" w:rsidR="00DB3BAC" w:rsidRPr="00DB3BAC" w:rsidRDefault="00DB3BAC" w:rsidP="00DB3BAC">
            <w:pPr>
              <w:pStyle w:val="BodyText"/>
              <w:rPr>
                <w:bCs/>
              </w:rPr>
            </w:pPr>
            <w:r>
              <w:rPr>
                <w:bCs/>
              </w:rPr>
              <w:t xml:space="preserve">We have updated the text to include the </w:t>
            </w:r>
            <w:r w:rsidRPr="00DB3BAC">
              <w:rPr>
                <w:bCs/>
              </w:rPr>
              <w:t>changes in the 2021 Finance Bill.</w:t>
            </w:r>
          </w:p>
        </w:tc>
      </w:tr>
      <w:tr w:rsidR="00DB3BAC" w14:paraId="54E812EA" w14:textId="77777777" w:rsidTr="00E92DDE">
        <w:tc>
          <w:tcPr>
            <w:tcW w:w="9016" w:type="dxa"/>
            <w:gridSpan w:val="2"/>
            <w:shd w:val="clear" w:color="auto" w:fill="auto"/>
          </w:tcPr>
          <w:p w14:paraId="796D9A1B" w14:textId="77777777" w:rsidR="00DB3BAC" w:rsidRPr="00DB3BAC" w:rsidRDefault="00DB3BAC" w:rsidP="00DB3BAC">
            <w:pPr>
              <w:pStyle w:val="BodyText"/>
              <w:rPr>
                <w:b/>
                <w:bCs/>
              </w:rPr>
            </w:pPr>
            <w:r w:rsidRPr="00DB3BAC">
              <w:rPr>
                <w:b/>
                <w:bCs/>
              </w:rPr>
              <w:t xml:space="preserve">Amendments to V1 (February 2020) </w:t>
            </w:r>
          </w:p>
          <w:p w14:paraId="30DE22C1" w14:textId="77777777" w:rsidR="00DB3BAC" w:rsidRPr="00B601AA" w:rsidRDefault="00DB3BAC" w:rsidP="00DB3BAC">
            <w:pPr>
              <w:pStyle w:val="BodyText"/>
              <w:rPr>
                <w:bCs/>
              </w:rPr>
            </w:pPr>
            <w:bookmarkStart w:id="3" w:name="_GoBack"/>
            <w:bookmarkEnd w:id="3"/>
          </w:p>
        </w:tc>
      </w:tr>
      <w:tr w:rsidR="00A02C40" w14:paraId="3D03657E" w14:textId="77777777" w:rsidTr="00B601AA">
        <w:tc>
          <w:tcPr>
            <w:tcW w:w="3114" w:type="dxa"/>
            <w:shd w:val="clear" w:color="auto" w:fill="auto"/>
          </w:tcPr>
          <w:p w14:paraId="6D36B736" w14:textId="59B9FE23" w:rsidR="00A02C40" w:rsidRPr="00B601AA" w:rsidRDefault="00A02C40" w:rsidP="002A266A">
            <w:pPr>
              <w:pStyle w:val="BodyText"/>
              <w:rPr>
                <w:b/>
                <w:bCs/>
              </w:rPr>
            </w:pPr>
            <w:r w:rsidRPr="00B601AA">
              <w:rPr>
                <w:bCs/>
              </w:rPr>
              <w:t>Guidance notes</w:t>
            </w:r>
          </w:p>
        </w:tc>
        <w:tc>
          <w:tcPr>
            <w:tcW w:w="5902" w:type="dxa"/>
            <w:shd w:val="clear" w:color="auto" w:fill="auto"/>
          </w:tcPr>
          <w:p w14:paraId="0231E875" w14:textId="12608536" w:rsidR="00A02C40" w:rsidRPr="00B601AA" w:rsidRDefault="00A02C40" w:rsidP="00B601AA">
            <w:pPr>
              <w:pStyle w:val="BodyText"/>
              <w:numPr>
                <w:ilvl w:val="0"/>
                <w:numId w:val="12"/>
              </w:numPr>
              <w:rPr>
                <w:b/>
                <w:bCs/>
              </w:rPr>
            </w:pPr>
            <w:r w:rsidRPr="00B601AA">
              <w:rPr>
                <w:bCs/>
              </w:rPr>
              <w:t xml:space="preserve">We have expanded and updated the guidance notes. </w:t>
            </w:r>
          </w:p>
          <w:p w14:paraId="671F761F" w14:textId="1E69F1CA" w:rsidR="00A02C40" w:rsidRPr="00B601AA" w:rsidRDefault="00A02C40" w:rsidP="00B601AA">
            <w:pPr>
              <w:pStyle w:val="BodyText"/>
              <w:numPr>
                <w:ilvl w:val="0"/>
                <w:numId w:val="12"/>
              </w:numPr>
              <w:rPr>
                <w:b/>
                <w:bCs/>
              </w:rPr>
            </w:pPr>
            <w:r w:rsidRPr="00B601AA">
              <w:rPr>
                <w:bCs/>
              </w:rPr>
              <w:t>We include hyperlinks to HMRC's Employment Status Manual.</w:t>
            </w:r>
          </w:p>
        </w:tc>
      </w:tr>
      <w:tr w:rsidR="00A02C40" w14:paraId="0DCB73D2" w14:textId="77777777" w:rsidTr="00B601AA">
        <w:tc>
          <w:tcPr>
            <w:tcW w:w="3114" w:type="dxa"/>
          </w:tcPr>
          <w:p w14:paraId="465971A2" w14:textId="6331EE28" w:rsidR="00A02C40" w:rsidRDefault="00A02C40" w:rsidP="002A266A">
            <w:pPr>
              <w:pStyle w:val="BodyText"/>
            </w:pPr>
            <w:r>
              <w:t>Status determination statement</w:t>
            </w:r>
          </w:p>
        </w:tc>
        <w:tc>
          <w:tcPr>
            <w:tcW w:w="5902" w:type="dxa"/>
          </w:tcPr>
          <w:p w14:paraId="70692C0A" w14:textId="4E24E8E6" w:rsidR="00A02C40" w:rsidRDefault="00A02C40" w:rsidP="00B601AA">
            <w:pPr>
              <w:pStyle w:val="BodyText"/>
              <w:numPr>
                <w:ilvl w:val="0"/>
                <w:numId w:val="12"/>
              </w:numPr>
            </w:pPr>
            <w:r>
              <w:t xml:space="preserve">We have added space for the client's contact and the date the client gives the status determination statement. </w:t>
            </w:r>
          </w:p>
        </w:tc>
      </w:tr>
    </w:tbl>
    <w:p w14:paraId="0CC14F04" w14:textId="77777777" w:rsidR="00A02C40" w:rsidRDefault="00A02C40" w:rsidP="002A266A">
      <w:pPr>
        <w:pStyle w:val="BodyText"/>
      </w:pPr>
    </w:p>
    <w:sectPr w:rsidR="00A02C40" w:rsidSect="00213EE0">
      <w:headerReference w:type="default" r:id="rId23"/>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739EB" w14:textId="77777777" w:rsidR="00492F58" w:rsidRDefault="00492F58" w:rsidP="008F24B5">
      <w:pPr>
        <w:spacing w:after="0" w:line="240" w:lineRule="auto"/>
      </w:pPr>
      <w:r>
        <w:separator/>
      </w:r>
    </w:p>
  </w:endnote>
  <w:endnote w:type="continuationSeparator" w:id="0">
    <w:p w14:paraId="294C5E04" w14:textId="77777777" w:rsidR="00492F58" w:rsidRDefault="00492F58"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928310839"/>
      <w:docPartObj>
        <w:docPartGallery w:val="Page Numbers (Bottom of Page)"/>
        <w:docPartUnique/>
      </w:docPartObj>
    </w:sdtPr>
    <w:sdtEndPr>
      <w:rPr>
        <w:noProof/>
      </w:rPr>
    </w:sdtEndPr>
    <w:sdtContent>
      <w:p w14:paraId="029F9E10" w14:textId="29A44E69" w:rsidR="00DB1643" w:rsidRPr="00671936" w:rsidRDefault="00DB1643" w:rsidP="00DB1643">
        <w:pPr>
          <w:pStyle w:val="Footer"/>
          <w:pBdr>
            <w:top w:val="single" w:sz="4" w:space="1" w:color="0D133D" w:themeColor="text1"/>
          </w:pBdr>
          <w:rPr>
            <w:rFonts w:ascii="Lato" w:hAnsi="Lato"/>
            <w:color w:val="0D133D" w:themeColor="text1"/>
            <w:sz w:val="18"/>
            <w:szCs w:val="18"/>
          </w:rPr>
        </w:pPr>
        <w:r>
          <w:rPr>
            <w:rFonts w:ascii="Lato" w:hAnsi="Lato"/>
            <w:sz w:val="18"/>
            <w:szCs w:val="18"/>
          </w:rPr>
          <w:t xml:space="preserve">© REC, </w:t>
        </w:r>
        <w:r w:rsidR="009B53A7">
          <w:rPr>
            <w:rFonts w:ascii="Lato" w:hAnsi="Lato"/>
            <w:sz w:val="18"/>
            <w:szCs w:val="18"/>
          </w:rPr>
          <w:t>March</w:t>
        </w:r>
        <w:r>
          <w:rPr>
            <w:rFonts w:ascii="Lato" w:hAnsi="Lato"/>
            <w:sz w:val="18"/>
            <w:szCs w:val="18"/>
          </w:rPr>
          <w:t xml:space="preserve"> 202</w:t>
        </w:r>
        <w:r w:rsidR="009B53A7">
          <w:rPr>
            <w:rFonts w:ascii="Lato" w:hAnsi="Lato"/>
            <w:sz w:val="18"/>
            <w:szCs w:val="18"/>
          </w:rPr>
          <w:t>1</w:t>
        </w:r>
        <w:r>
          <w:rPr>
            <w:rFonts w:ascii="Lato" w:hAnsi="Lato"/>
            <w:sz w:val="18"/>
            <w:szCs w:val="18"/>
          </w:rPr>
          <w:tab/>
        </w:r>
        <w:r>
          <w:rPr>
            <w:rFonts w:ascii="Lato" w:hAnsi="Lato"/>
            <w:sz w:val="18"/>
            <w:szCs w:val="18"/>
          </w:rPr>
          <w:tab/>
        </w:r>
        <w:r w:rsidRPr="000C3964">
          <w:rPr>
            <w:rFonts w:ascii="Lato" w:hAnsi="Lato"/>
            <w:sz w:val="18"/>
            <w:szCs w:val="18"/>
          </w:rPr>
          <w:fldChar w:fldCharType="begin"/>
        </w:r>
        <w:r w:rsidRPr="000C3964">
          <w:rPr>
            <w:rFonts w:ascii="Lato" w:hAnsi="Lato"/>
            <w:sz w:val="18"/>
            <w:szCs w:val="18"/>
          </w:rPr>
          <w:instrText xml:space="preserve"> PAGE   \* MERGEFORMAT </w:instrText>
        </w:r>
        <w:r w:rsidRPr="000C3964">
          <w:rPr>
            <w:rFonts w:ascii="Lato" w:hAnsi="Lato"/>
            <w:sz w:val="18"/>
            <w:szCs w:val="18"/>
          </w:rPr>
          <w:fldChar w:fldCharType="separate"/>
        </w:r>
        <w:r>
          <w:rPr>
            <w:rFonts w:ascii="Lato" w:hAnsi="Lato"/>
            <w:sz w:val="18"/>
            <w:szCs w:val="18"/>
          </w:rPr>
          <w:t>1</w:t>
        </w:r>
        <w:r w:rsidRPr="000C3964">
          <w:rPr>
            <w:rFonts w:ascii="Lato" w:hAnsi="Lato"/>
            <w:noProof/>
            <w:sz w:val="18"/>
            <w:szCs w:val="18"/>
          </w:rPr>
          <w:fldChar w:fldCharType="end"/>
        </w:r>
      </w:p>
    </w:sdtContent>
  </w:sdt>
  <w:p w14:paraId="08E2BFA9"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47585" w14:textId="77777777" w:rsidR="00492F58" w:rsidRDefault="00492F58" w:rsidP="008F24B5">
      <w:pPr>
        <w:spacing w:after="0" w:line="240" w:lineRule="auto"/>
      </w:pPr>
      <w:r>
        <w:separator/>
      </w:r>
    </w:p>
  </w:footnote>
  <w:footnote w:type="continuationSeparator" w:id="0">
    <w:p w14:paraId="36B5D8C5" w14:textId="77777777" w:rsidR="00492F58" w:rsidRDefault="00492F58" w:rsidP="008F24B5">
      <w:pPr>
        <w:spacing w:after="0" w:line="240" w:lineRule="auto"/>
      </w:pPr>
      <w:r>
        <w:continuationSeparator/>
      </w:r>
    </w:p>
  </w:footnote>
  <w:footnote w:id="1">
    <w:p w14:paraId="4C8F5727" w14:textId="19C56B40" w:rsidR="00884D77" w:rsidRPr="00EE616E" w:rsidRDefault="00884D77" w:rsidP="00884D77">
      <w:pPr>
        <w:pStyle w:val="FootnoteText"/>
        <w:rPr>
          <w:rFonts w:ascii="Lato" w:hAnsi="Lato"/>
          <w:sz w:val="18"/>
          <w:szCs w:val="18"/>
        </w:rPr>
      </w:pPr>
      <w:r w:rsidRPr="00EE616E">
        <w:rPr>
          <w:rStyle w:val="FootnoteReference"/>
          <w:rFonts w:ascii="Lato" w:hAnsi="Lato"/>
          <w:sz w:val="18"/>
          <w:szCs w:val="18"/>
        </w:rPr>
        <w:footnoteRef/>
      </w:r>
      <w:r w:rsidRPr="00EE616E">
        <w:rPr>
          <w:rFonts w:ascii="Lato" w:hAnsi="Lato"/>
          <w:sz w:val="18"/>
          <w:szCs w:val="18"/>
        </w:rPr>
        <w:t xml:space="preserve"> IR35 or the off-payroll rules will only apply where the temporary worker has a material interest in the </w:t>
      </w:r>
      <w:r w:rsidRPr="00EE616E">
        <w:rPr>
          <w:rFonts w:ascii="Lato" w:hAnsi="Lato"/>
          <w:sz w:val="18"/>
          <w:szCs w:val="18"/>
        </w:rPr>
        <w:t>intermediary through which they work.  A</w:t>
      </w:r>
      <w:r w:rsidR="006F04FF">
        <w:rPr>
          <w:rFonts w:ascii="Lato" w:hAnsi="Lato"/>
          <w:sz w:val="18"/>
          <w:szCs w:val="18"/>
        </w:rPr>
        <w:t>n individual has a</w:t>
      </w:r>
      <w:r w:rsidRPr="00EE616E">
        <w:rPr>
          <w:rFonts w:ascii="Lato" w:hAnsi="Lato"/>
          <w:sz w:val="18"/>
          <w:szCs w:val="18"/>
        </w:rPr>
        <w:t xml:space="preserve"> material interest </w:t>
      </w:r>
      <w:r w:rsidR="006F04FF">
        <w:rPr>
          <w:rFonts w:ascii="Lato" w:hAnsi="Lato"/>
          <w:sz w:val="18"/>
          <w:szCs w:val="18"/>
        </w:rPr>
        <w:t>when they</w:t>
      </w:r>
      <w:r w:rsidRPr="00EE616E">
        <w:rPr>
          <w:rFonts w:ascii="Lato" w:hAnsi="Lato"/>
          <w:sz w:val="18"/>
          <w:szCs w:val="18"/>
        </w:rPr>
        <w:t xml:space="preserve">(a) </w:t>
      </w:r>
      <w:r w:rsidR="006F04FF">
        <w:rPr>
          <w:rFonts w:ascii="Lato" w:hAnsi="Lato"/>
          <w:sz w:val="18"/>
          <w:szCs w:val="18"/>
        </w:rPr>
        <w:t xml:space="preserve">own, control </w:t>
      </w:r>
      <w:r w:rsidR="002D1985">
        <w:rPr>
          <w:rFonts w:ascii="Lato" w:hAnsi="Lato"/>
          <w:sz w:val="18"/>
          <w:szCs w:val="18"/>
        </w:rPr>
        <w:t xml:space="preserve">or have beneficial interest in </w:t>
      </w:r>
      <w:r w:rsidRPr="00EE616E">
        <w:rPr>
          <w:rFonts w:ascii="Lato" w:hAnsi="Lato"/>
          <w:sz w:val="18"/>
          <w:szCs w:val="18"/>
        </w:rPr>
        <w:t xml:space="preserve">more than 5% of shares in a company or (b) </w:t>
      </w:r>
      <w:r w:rsidR="002D1985">
        <w:rPr>
          <w:rFonts w:ascii="Lato" w:hAnsi="Lato"/>
          <w:sz w:val="18"/>
          <w:szCs w:val="18"/>
        </w:rPr>
        <w:t xml:space="preserve">are </w:t>
      </w:r>
      <w:r w:rsidRPr="00EE616E">
        <w:rPr>
          <w:rFonts w:ascii="Lato" w:hAnsi="Lato"/>
          <w:sz w:val="18"/>
          <w:szCs w:val="18"/>
        </w:rPr>
        <w:t>entitle</w:t>
      </w:r>
      <w:r w:rsidR="002D1985">
        <w:rPr>
          <w:rFonts w:ascii="Lato" w:hAnsi="Lato"/>
          <w:sz w:val="18"/>
          <w:szCs w:val="18"/>
        </w:rPr>
        <w:t>d</w:t>
      </w:r>
      <w:r w:rsidRPr="00EE616E">
        <w:rPr>
          <w:rFonts w:ascii="Lato" w:hAnsi="Lato"/>
          <w:sz w:val="18"/>
          <w:szCs w:val="18"/>
        </w:rPr>
        <w:t xml:space="preserve"> to 60% </w:t>
      </w:r>
      <w:r w:rsidR="006E048B">
        <w:rPr>
          <w:rFonts w:ascii="Lato" w:hAnsi="Lato"/>
          <w:sz w:val="18"/>
          <w:szCs w:val="18"/>
        </w:rPr>
        <w:t xml:space="preserve">or more </w:t>
      </w:r>
      <w:r w:rsidRPr="00EE616E">
        <w:rPr>
          <w:rFonts w:ascii="Lato" w:hAnsi="Lato"/>
          <w:sz w:val="18"/>
          <w:szCs w:val="18"/>
        </w:rPr>
        <w:t>of the profits of a partnership.</w:t>
      </w:r>
      <w:r w:rsidR="009B53A7" w:rsidRPr="009B53A7">
        <w:t xml:space="preserve"> </w:t>
      </w:r>
      <w:r w:rsidR="009B53A7" w:rsidRPr="009B53A7">
        <w:rPr>
          <w:rFonts w:ascii="Lato" w:hAnsi="Lato"/>
          <w:sz w:val="18"/>
          <w:szCs w:val="18"/>
        </w:rPr>
        <w:t xml:space="preserve">But there will be a non-material interest provision for companies. The rules will apply if the contractor has 5 % or less of the company shares or they receive, expect, or entitled to receive payment that is not deemed employment income. </w:t>
      </w:r>
      <w:r w:rsidRPr="00EE616E">
        <w:rPr>
          <w:rFonts w:ascii="Lato" w:hAnsi="Lato"/>
          <w:sz w:val="18"/>
          <w:szCs w:val="18"/>
        </w:rPr>
        <w:t xml:space="preserve">  </w:t>
      </w:r>
      <w:r w:rsidR="00614B05" w:rsidRPr="00EE616E">
        <w:rPr>
          <w:rFonts w:ascii="Lato" w:hAnsi="Lato"/>
          <w:sz w:val="18"/>
          <w:szCs w:val="18"/>
        </w:rPr>
        <w:t>Typically,</w:t>
      </w:r>
      <w:r w:rsidRPr="00EE616E">
        <w:rPr>
          <w:rFonts w:ascii="Lato" w:hAnsi="Lato"/>
          <w:sz w:val="18"/>
          <w:szCs w:val="18"/>
        </w:rPr>
        <w:t xml:space="preserve"> temporary workers working through an umbrella company or a CIS intermediary (as a sole trader) will not have a material</w:t>
      </w:r>
      <w:r w:rsidR="009B53A7">
        <w:rPr>
          <w:rFonts w:ascii="Lato" w:hAnsi="Lato"/>
          <w:sz w:val="18"/>
          <w:szCs w:val="18"/>
        </w:rPr>
        <w:t xml:space="preserve"> or non-material</w:t>
      </w:r>
      <w:r w:rsidRPr="00EE616E">
        <w:rPr>
          <w:rFonts w:ascii="Lato" w:hAnsi="Lato"/>
          <w:sz w:val="18"/>
          <w:szCs w:val="18"/>
        </w:rPr>
        <w:t xml:space="preserve"> interest in the umbrella or CIS Intermediary and therefore IR35 cannot apply. </w:t>
      </w:r>
      <w:r w:rsidR="00614B05" w:rsidRPr="00EE616E">
        <w:rPr>
          <w:rFonts w:ascii="Lato" w:hAnsi="Lato"/>
          <w:sz w:val="18"/>
          <w:szCs w:val="18"/>
        </w:rPr>
        <w:t>However,</w:t>
      </w:r>
      <w:r w:rsidRPr="00EE616E">
        <w:rPr>
          <w:rFonts w:ascii="Lato" w:hAnsi="Lato"/>
          <w:sz w:val="18"/>
          <w:szCs w:val="18"/>
        </w:rPr>
        <w:t xml:space="preserve"> if someone works through their own company or </w:t>
      </w:r>
      <w:r w:rsidR="00614B05" w:rsidRPr="00EE616E">
        <w:rPr>
          <w:rFonts w:ascii="Lato" w:hAnsi="Lato"/>
          <w:sz w:val="18"/>
          <w:szCs w:val="18"/>
        </w:rPr>
        <w:t>partnership,</w:t>
      </w:r>
      <w:r w:rsidRPr="00EE616E">
        <w:rPr>
          <w:rFonts w:ascii="Lato" w:hAnsi="Lato"/>
          <w:sz w:val="18"/>
          <w:szCs w:val="18"/>
        </w:rPr>
        <w:t xml:space="preserve"> they will have a material</w:t>
      </w:r>
      <w:r w:rsidR="009B53A7">
        <w:rPr>
          <w:rFonts w:ascii="Lato" w:hAnsi="Lato"/>
          <w:sz w:val="18"/>
          <w:szCs w:val="18"/>
        </w:rPr>
        <w:t xml:space="preserve"> or non-material</w:t>
      </w:r>
      <w:r w:rsidRPr="00EE616E">
        <w:rPr>
          <w:rFonts w:ascii="Lato" w:hAnsi="Lato"/>
          <w:sz w:val="18"/>
          <w:szCs w:val="18"/>
        </w:rPr>
        <w:t xml:space="preserve"> interest.  You must confirm shareholdings/partner share to understand whether a temporary worker has a material</w:t>
      </w:r>
      <w:r w:rsidR="009B53A7">
        <w:rPr>
          <w:rFonts w:ascii="Lato" w:hAnsi="Lato"/>
          <w:sz w:val="18"/>
          <w:szCs w:val="18"/>
        </w:rPr>
        <w:t xml:space="preserve"> or non-material</w:t>
      </w:r>
      <w:r w:rsidRPr="00EE616E">
        <w:rPr>
          <w:rFonts w:ascii="Lato" w:hAnsi="Lato"/>
          <w:sz w:val="18"/>
          <w:szCs w:val="18"/>
        </w:rPr>
        <w:t xml:space="preserve"> interest in the intermediary or not, and therefore which tax rules apply. </w:t>
      </w:r>
    </w:p>
    <w:p w14:paraId="320F57A6" w14:textId="77777777" w:rsidR="00884D77" w:rsidRPr="00EE616E" w:rsidRDefault="00884D77" w:rsidP="00884D77">
      <w:pPr>
        <w:pStyle w:val="FootnoteText"/>
        <w:rPr>
          <w:rFonts w:ascii="Lato" w:hAnsi="Lato"/>
          <w:sz w:val="18"/>
          <w:szCs w:val="18"/>
        </w:rPr>
      </w:pPr>
    </w:p>
    <w:p w14:paraId="11A2450A" w14:textId="2F035A28" w:rsidR="00884D77" w:rsidRDefault="00884D77" w:rsidP="00884D77">
      <w:pPr>
        <w:pStyle w:val="FootnoteText"/>
        <w:rPr>
          <w:rFonts w:ascii="Lato" w:hAnsi="Lato"/>
          <w:sz w:val="18"/>
          <w:szCs w:val="18"/>
        </w:rPr>
      </w:pPr>
      <w:r w:rsidRPr="00EE616E">
        <w:rPr>
          <w:rFonts w:ascii="Lato" w:hAnsi="Lato"/>
          <w:sz w:val="18"/>
          <w:szCs w:val="18"/>
        </w:rPr>
        <w:t xml:space="preserve">For ease, we use the term PSC in this document to include both personal service companies and partnerships. </w:t>
      </w:r>
    </w:p>
    <w:p w14:paraId="2EA68C78" w14:textId="77777777" w:rsidR="00DB3BAC" w:rsidRPr="00EE616E" w:rsidRDefault="00DB3BAC" w:rsidP="00884D77">
      <w:pPr>
        <w:pStyle w:val="FootnoteText"/>
        <w:rPr>
          <w:rFonts w:ascii="Lato" w:hAnsi="Lato"/>
          <w:sz w:val="18"/>
          <w:szCs w:val="18"/>
        </w:rPr>
      </w:pPr>
    </w:p>
  </w:footnote>
  <w:footnote w:id="2">
    <w:p w14:paraId="1D35688B" w14:textId="77777777" w:rsidR="00310C94" w:rsidRPr="00E56217" w:rsidRDefault="00310C94" w:rsidP="00310C94">
      <w:pPr>
        <w:pStyle w:val="FootnoteText"/>
        <w:rPr>
          <w:rFonts w:asciiTheme="minorHAnsi" w:hAnsiTheme="minorHAnsi"/>
        </w:rPr>
      </w:pPr>
      <w:r w:rsidRPr="0055050A">
        <w:rPr>
          <w:rStyle w:val="FootnoteReference"/>
          <w:rFonts w:ascii="Lato" w:hAnsi="Lato"/>
          <w:sz w:val="18"/>
          <w:szCs w:val="18"/>
        </w:rPr>
        <w:footnoteRef/>
      </w:r>
      <w:r w:rsidRPr="0055050A">
        <w:rPr>
          <w:rFonts w:ascii="Lato" w:hAnsi="Lato"/>
          <w:sz w:val="18"/>
          <w:szCs w:val="18"/>
        </w:rPr>
        <w:t xml:space="preserve"> Section 61TA ITEPA</w:t>
      </w:r>
    </w:p>
  </w:footnote>
  <w:footnote w:id="3">
    <w:p w14:paraId="618E9372" w14:textId="705923D4" w:rsidR="00DB1643" w:rsidRPr="0055050A" w:rsidRDefault="00DB1643" w:rsidP="00DB1643">
      <w:pPr>
        <w:pStyle w:val="FootnoteText"/>
        <w:rPr>
          <w:rFonts w:ascii="Lato" w:hAnsi="Lato"/>
          <w:sz w:val="18"/>
          <w:szCs w:val="18"/>
        </w:rPr>
      </w:pPr>
      <w:r w:rsidRPr="0055050A">
        <w:rPr>
          <w:rStyle w:val="FootnoteReference"/>
          <w:rFonts w:ascii="Lato" w:hAnsi="Lato"/>
          <w:sz w:val="18"/>
          <w:szCs w:val="18"/>
        </w:rPr>
        <w:footnoteRef/>
      </w:r>
      <w:r w:rsidRPr="0055050A">
        <w:rPr>
          <w:rFonts w:ascii="Lato" w:hAnsi="Lato"/>
          <w:sz w:val="18"/>
          <w:szCs w:val="18"/>
        </w:rPr>
        <w:t xml:space="preserve"> The client led disagreement process is set out at section 61T ITEPA. </w:t>
      </w:r>
      <w:r w:rsidR="00F5515F">
        <w:rPr>
          <w:rFonts w:ascii="Lato" w:hAnsi="Lato"/>
          <w:sz w:val="18"/>
          <w:szCs w:val="18"/>
        </w:rPr>
        <w:t>The requirement for clients to have a disagreement process only applies from 6 April 2021 so public authorities do not currently have to have such a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0EAD" w14:textId="77777777" w:rsidR="008F24B5" w:rsidRDefault="008F24B5">
    <w:pPr>
      <w:pStyle w:val="Header"/>
    </w:pPr>
    <w:r>
      <w:rPr>
        <w:noProof/>
      </w:rPr>
      <w:drawing>
        <wp:anchor distT="0" distB="0" distL="114300" distR="114300" simplePos="0" relativeHeight="251658240" behindDoc="0" locked="0" layoutInCell="1" allowOverlap="1" wp14:anchorId="16FE421F" wp14:editId="333B5EA7">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F023" w14:textId="191B8018" w:rsidR="00157A97" w:rsidRDefault="00157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67D"/>
    <w:multiLevelType w:val="hybridMultilevel"/>
    <w:tmpl w:val="BC245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4B1E69"/>
    <w:multiLevelType w:val="hybridMultilevel"/>
    <w:tmpl w:val="CA30268A"/>
    <w:lvl w:ilvl="0" w:tplc="DDAA73F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FE57BD"/>
    <w:multiLevelType w:val="hybridMultilevel"/>
    <w:tmpl w:val="837A5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239AF"/>
    <w:multiLevelType w:val="hybridMultilevel"/>
    <w:tmpl w:val="2708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F1175"/>
    <w:multiLevelType w:val="hybridMultilevel"/>
    <w:tmpl w:val="7FCACD26"/>
    <w:lvl w:ilvl="0" w:tplc="5B121BC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8F76AE"/>
    <w:multiLevelType w:val="hybridMultilevel"/>
    <w:tmpl w:val="6D3AC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C1603"/>
    <w:multiLevelType w:val="hybridMultilevel"/>
    <w:tmpl w:val="642ED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97EC4"/>
    <w:multiLevelType w:val="hybridMultilevel"/>
    <w:tmpl w:val="FDFEB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41CD3"/>
    <w:multiLevelType w:val="hybridMultilevel"/>
    <w:tmpl w:val="FD82F4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35DA3"/>
    <w:multiLevelType w:val="hybridMultilevel"/>
    <w:tmpl w:val="22B02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7426B9"/>
    <w:multiLevelType w:val="hybridMultilevel"/>
    <w:tmpl w:val="63D6A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1386185"/>
    <w:multiLevelType w:val="hybridMultilevel"/>
    <w:tmpl w:val="AD401C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E43B22"/>
    <w:multiLevelType w:val="hybridMultilevel"/>
    <w:tmpl w:val="9176DA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64999"/>
    <w:multiLevelType w:val="hybridMultilevel"/>
    <w:tmpl w:val="8A1E2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060EE6"/>
    <w:multiLevelType w:val="hybridMultilevel"/>
    <w:tmpl w:val="5E42A484"/>
    <w:lvl w:ilvl="0" w:tplc="4C7830A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13"/>
  </w:num>
  <w:num w:numId="4">
    <w:abstractNumId w:val="14"/>
  </w:num>
  <w:num w:numId="5">
    <w:abstractNumId w:val="2"/>
  </w:num>
  <w:num w:numId="6">
    <w:abstractNumId w:val="18"/>
  </w:num>
  <w:num w:numId="7">
    <w:abstractNumId w:val="17"/>
  </w:num>
  <w:num w:numId="8">
    <w:abstractNumId w:val="6"/>
  </w:num>
  <w:num w:numId="9">
    <w:abstractNumId w:val="7"/>
  </w:num>
  <w:num w:numId="10">
    <w:abstractNumId w:val="10"/>
  </w:num>
  <w:num w:numId="11">
    <w:abstractNumId w:val="8"/>
  </w:num>
  <w:num w:numId="12">
    <w:abstractNumId w:val="5"/>
  </w:num>
  <w:num w:numId="13">
    <w:abstractNumId w:val="15"/>
  </w:num>
  <w:num w:numId="14">
    <w:abstractNumId w:val="16"/>
  </w:num>
  <w:num w:numId="15">
    <w:abstractNumId w:val="4"/>
  </w:num>
  <w:num w:numId="16">
    <w:abstractNumId w:val="0"/>
  </w:num>
  <w:num w:numId="17">
    <w:abstractNumId w:val="9"/>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0A"/>
    <w:rsid w:val="0000132E"/>
    <w:rsid w:val="00013F92"/>
    <w:rsid w:val="000351BB"/>
    <w:rsid w:val="00037C84"/>
    <w:rsid w:val="00040416"/>
    <w:rsid w:val="00067F48"/>
    <w:rsid w:val="000834C5"/>
    <w:rsid w:val="000C7A0E"/>
    <w:rsid w:val="000F63C3"/>
    <w:rsid w:val="00111F33"/>
    <w:rsid w:val="00115231"/>
    <w:rsid w:val="00133AB3"/>
    <w:rsid w:val="00144511"/>
    <w:rsid w:val="001522E6"/>
    <w:rsid w:val="00157A97"/>
    <w:rsid w:val="00191DE9"/>
    <w:rsid w:val="0019583F"/>
    <w:rsid w:val="00197D91"/>
    <w:rsid w:val="00213EE0"/>
    <w:rsid w:val="002241C5"/>
    <w:rsid w:val="002274A6"/>
    <w:rsid w:val="002634D6"/>
    <w:rsid w:val="00264432"/>
    <w:rsid w:val="002A266A"/>
    <w:rsid w:val="002A565A"/>
    <w:rsid w:val="002D1985"/>
    <w:rsid w:val="003059FB"/>
    <w:rsid w:val="00310C94"/>
    <w:rsid w:val="00332C9B"/>
    <w:rsid w:val="00387103"/>
    <w:rsid w:val="003B6C83"/>
    <w:rsid w:val="004040C1"/>
    <w:rsid w:val="0048000F"/>
    <w:rsid w:val="004849C5"/>
    <w:rsid w:val="00492F58"/>
    <w:rsid w:val="004C7733"/>
    <w:rsid w:val="004E1C20"/>
    <w:rsid w:val="00527771"/>
    <w:rsid w:val="0055050A"/>
    <w:rsid w:val="005A4CFE"/>
    <w:rsid w:val="005A56B3"/>
    <w:rsid w:val="00602B0A"/>
    <w:rsid w:val="00614B05"/>
    <w:rsid w:val="00647C14"/>
    <w:rsid w:val="00674C2E"/>
    <w:rsid w:val="006A65D9"/>
    <w:rsid w:val="006E048B"/>
    <w:rsid w:val="006E0610"/>
    <w:rsid w:val="006F04FF"/>
    <w:rsid w:val="0072396C"/>
    <w:rsid w:val="00761BD2"/>
    <w:rsid w:val="007B6906"/>
    <w:rsid w:val="007D4470"/>
    <w:rsid w:val="00800C7E"/>
    <w:rsid w:val="008156A6"/>
    <w:rsid w:val="00845024"/>
    <w:rsid w:val="00851A2D"/>
    <w:rsid w:val="00884D77"/>
    <w:rsid w:val="00890561"/>
    <w:rsid w:val="008A747D"/>
    <w:rsid w:val="008B7342"/>
    <w:rsid w:val="008F24B5"/>
    <w:rsid w:val="00960976"/>
    <w:rsid w:val="00974792"/>
    <w:rsid w:val="00981416"/>
    <w:rsid w:val="00996171"/>
    <w:rsid w:val="009A4E8D"/>
    <w:rsid w:val="009B53A7"/>
    <w:rsid w:val="00A02C40"/>
    <w:rsid w:val="00A55B92"/>
    <w:rsid w:val="00A664EC"/>
    <w:rsid w:val="00AB4EEB"/>
    <w:rsid w:val="00AC5896"/>
    <w:rsid w:val="00AF28FA"/>
    <w:rsid w:val="00B4194A"/>
    <w:rsid w:val="00B601AA"/>
    <w:rsid w:val="00B7687A"/>
    <w:rsid w:val="00B8503E"/>
    <w:rsid w:val="00BB550A"/>
    <w:rsid w:val="00BD489B"/>
    <w:rsid w:val="00C1431E"/>
    <w:rsid w:val="00C50CF5"/>
    <w:rsid w:val="00C66570"/>
    <w:rsid w:val="00C80901"/>
    <w:rsid w:val="00CC1252"/>
    <w:rsid w:val="00CD5206"/>
    <w:rsid w:val="00D55FE7"/>
    <w:rsid w:val="00DB1643"/>
    <w:rsid w:val="00DB3BAC"/>
    <w:rsid w:val="00DE2948"/>
    <w:rsid w:val="00DE5A4E"/>
    <w:rsid w:val="00E4294B"/>
    <w:rsid w:val="00E5042E"/>
    <w:rsid w:val="00E8410F"/>
    <w:rsid w:val="00EC476B"/>
    <w:rsid w:val="00EE616E"/>
    <w:rsid w:val="00F20F68"/>
    <w:rsid w:val="00F25193"/>
    <w:rsid w:val="00F336AD"/>
    <w:rsid w:val="00F5515F"/>
    <w:rsid w:val="00F9155F"/>
    <w:rsid w:val="00FE442B"/>
    <w:rsid w:val="00FF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4001B"/>
  <w15:chartTrackingRefBased/>
  <w15:docId w15:val="{0201D8BC-9D79-40D3-AC0D-17D64241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84D77"/>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rsid w:val="00884D77"/>
    <w:rPr>
      <w:rFonts w:ascii="Times New Roman" w:hAnsi="Times New Roman" w:cs="Times New Roman"/>
      <w:sz w:val="20"/>
      <w:szCs w:val="20"/>
    </w:rPr>
  </w:style>
  <w:style w:type="character" w:styleId="FootnoteReference">
    <w:name w:val="footnote reference"/>
    <w:basedOn w:val="DefaultParagraphFont"/>
    <w:unhideWhenUsed/>
    <w:rsid w:val="00884D77"/>
    <w:rPr>
      <w:vertAlign w:val="superscript"/>
    </w:rPr>
  </w:style>
  <w:style w:type="character" w:styleId="UnresolvedMention">
    <w:name w:val="Unresolved Mention"/>
    <w:basedOn w:val="DefaultParagraphFont"/>
    <w:uiPriority w:val="99"/>
    <w:semiHidden/>
    <w:unhideWhenUsed/>
    <w:rsid w:val="00884D77"/>
    <w:rPr>
      <w:color w:val="605E5C"/>
      <w:shd w:val="clear" w:color="auto" w:fill="E1DFDD"/>
    </w:rPr>
  </w:style>
  <w:style w:type="character" w:styleId="CommentReference">
    <w:name w:val="annotation reference"/>
    <w:basedOn w:val="DefaultParagraphFont"/>
    <w:uiPriority w:val="99"/>
    <w:semiHidden/>
    <w:unhideWhenUsed/>
    <w:rsid w:val="008A747D"/>
    <w:rPr>
      <w:sz w:val="16"/>
      <w:szCs w:val="16"/>
    </w:rPr>
  </w:style>
  <w:style w:type="paragraph" w:styleId="CommentText">
    <w:name w:val="annotation text"/>
    <w:basedOn w:val="Normal"/>
    <w:link w:val="CommentTextChar"/>
    <w:uiPriority w:val="99"/>
    <w:semiHidden/>
    <w:unhideWhenUsed/>
    <w:rsid w:val="008A747D"/>
    <w:pPr>
      <w:spacing w:line="240" w:lineRule="auto"/>
    </w:pPr>
    <w:rPr>
      <w:sz w:val="20"/>
      <w:szCs w:val="20"/>
    </w:rPr>
  </w:style>
  <w:style w:type="character" w:customStyle="1" w:styleId="CommentTextChar">
    <w:name w:val="Comment Text Char"/>
    <w:basedOn w:val="DefaultParagraphFont"/>
    <w:link w:val="CommentText"/>
    <w:uiPriority w:val="99"/>
    <w:semiHidden/>
    <w:rsid w:val="008A747D"/>
    <w:rPr>
      <w:sz w:val="20"/>
      <w:szCs w:val="20"/>
    </w:rPr>
  </w:style>
  <w:style w:type="paragraph" w:styleId="CommentSubject">
    <w:name w:val="annotation subject"/>
    <w:basedOn w:val="CommentText"/>
    <w:next w:val="CommentText"/>
    <w:link w:val="CommentSubjectChar"/>
    <w:uiPriority w:val="99"/>
    <w:semiHidden/>
    <w:unhideWhenUsed/>
    <w:rsid w:val="008A747D"/>
    <w:rPr>
      <w:b/>
      <w:bCs/>
    </w:rPr>
  </w:style>
  <w:style w:type="character" w:customStyle="1" w:styleId="CommentSubjectChar">
    <w:name w:val="Comment Subject Char"/>
    <w:basedOn w:val="CommentTextChar"/>
    <w:link w:val="CommentSubject"/>
    <w:uiPriority w:val="99"/>
    <w:semiHidden/>
    <w:rsid w:val="008A747D"/>
    <w:rPr>
      <w:b/>
      <w:bCs/>
      <w:sz w:val="20"/>
      <w:szCs w:val="20"/>
    </w:rPr>
  </w:style>
  <w:style w:type="paragraph" w:styleId="BalloonText">
    <w:name w:val="Balloon Text"/>
    <w:basedOn w:val="Normal"/>
    <w:link w:val="BalloonTextChar"/>
    <w:uiPriority w:val="99"/>
    <w:semiHidden/>
    <w:unhideWhenUsed/>
    <w:rsid w:val="008A7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47D"/>
    <w:rPr>
      <w:rFonts w:ascii="Segoe UI" w:hAnsi="Segoe UI" w:cs="Segoe UI"/>
      <w:sz w:val="18"/>
      <w:szCs w:val="18"/>
    </w:rPr>
  </w:style>
  <w:style w:type="paragraph" w:customStyle="1" w:styleId="BlueBoxText">
    <w:name w:val="Blue Box Text"/>
    <w:basedOn w:val="IntroductionTitle"/>
    <w:link w:val="BlueBoxTextChar"/>
    <w:qFormat/>
    <w:rsid w:val="0019583F"/>
    <w:rPr>
      <w:color w:val="FFFFFF" w:themeColor="accent4"/>
      <w:sz w:val="28"/>
      <w:szCs w:val="28"/>
    </w:rPr>
  </w:style>
  <w:style w:type="character" w:customStyle="1" w:styleId="BlueBoxTextChar">
    <w:name w:val="Blue Box Text Char"/>
    <w:basedOn w:val="DefaultParagraphFont"/>
    <w:link w:val="BlueBoxText"/>
    <w:rsid w:val="0019583F"/>
    <w:rPr>
      <w:rFonts w:ascii="Lato" w:hAnsi="Lato"/>
      <w:color w:val="FFFFFF" w:themeColor="accent4"/>
      <w:sz w:val="28"/>
      <w:szCs w:val="28"/>
    </w:rPr>
  </w:style>
  <w:style w:type="paragraph" w:styleId="NormalWeb">
    <w:name w:val="Normal (Web)"/>
    <w:basedOn w:val="Normal"/>
    <w:uiPriority w:val="99"/>
    <w:unhideWhenUsed/>
    <w:rsid w:val="006F04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092336">
      <w:bodyDiv w:val="1"/>
      <w:marLeft w:val="0"/>
      <w:marRight w:val="0"/>
      <w:marTop w:val="0"/>
      <w:marBottom w:val="0"/>
      <w:divBdr>
        <w:top w:val="none" w:sz="0" w:space="0" w:color="auto"/>
        <w:left w:val="none" w:sz="0" w:space="0" w:color="auto"/>
        <w:bottom w:val="none" w:sz="0" w:space="0" w:color="auto"/>
        <w:right w:val="none" w:sz="0" w:space="0" w:color="auto"/>
      </w:divBdr>
    </w:div>
    <w:div w:id="165938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mrc-internal-manuals/employment-status-manual/esm10013" TargetMode="External"/><Relationship Id="rId13" Type="http://schemas.openxmlformats.org/officeDocument/2006/relationships/hyperlink" Target="https://www.legislation.gov.uk/ukpga/2003/1/part/2/chapter/8" TargetMode="External"/><Relationship Id="rId18" Type="http://schemas.openxmlformats.org/officeDocument/2006/relationships/hyperlink" Target="https://www.gov.uk/hmrc-internal-manuals/employment-status-manual/esm1001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17442/Off-payroll_working_rules_from_April_2020_summary_of_responses.pdf" TargetMode="External"/><Relationship Id="rId17" Type="http://schemas.openxmlformats.org/officeDocument/2006/relationships/hyperlink" Target="https://www.gov.uk/hmrc-internal-manuals/employment-status-manual/esm11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uidance/check-employment-status-for-tax" TargetMode="External"/><Relationship Id="rId20" Type="http://schemas.openxmlformats.org/officeDocument/2006/relationships/hyperlink" Target="https://www.rec.uk.com/index.php?&amp;pageId=981&amp;tag=Legal%20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c.uk.com/legal-resources/factsheets-and-guides/factsheets-and-guides/REC-Legal-guide-Employment-tax-issues-final.pdf" TargetMode="External"/><Relationship Id="rId23" Type="http://schemas.openxmlformats.org/officeDocument/2006/relationships/header" Target="header2.xml"/><Relationship Id="rId10" Type="http://schemas.openxmlformats.org/officeDocument/2006/relationships/hyperlink" Target="https://www.rec.uk.com/recruiters/legal/template-documents/forms-and-letters/ir35-small-company-exemption-declaration" TargetMode="External"/><Relationship Id="rId19" Type="http://schemas.openxmlformats.org/officeDocument/2006/relationships/hyperlink" Target="https://www.gov.uk/hmrc-internal-manuals/employment-status-manual/esm10000" TargetMode="External"/><Relationship Id="rId4" Type="http://schemas.openxmlformats.org/officeDocument/2006/relationships/settings" Target="settings.xml"/><Relationship Id="rId9" Type="http://schemas.openxmlformats.org/officeDocument/2006/relationships/hyperlink" Target="https://www.rec.uk.com/recruiters/legal/ir35" TargetMode="External"/><Relationship Id="rId14" Type="http://schemas.openxmlformats.org/officeDocument/2006/relationships/hyperlink" Target="https://www.gov.uk/hmrc-internal-manuals/employment-status-manual/esm1000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Oshea\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0395B-3204-4525-AAD4-47D0B26D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0</TotalTime>
  <Pages>8</Pages>
  <Words>1781</Words>
  <Characters>10155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Wilson</dc:creator>
  <cp:keywords/>
  <dc:description/>
  <cp:lastModifiedBy>Jane O'Shea</cp:lastModifiedBy>
  <cp:revision>2</cp:revision>
  <cp:lastPrinted>2020-09-29T17:59:00Z</cp:lastPrinted>
  <dcterms:created xsi:type="dcterms:W3CDTF">2021-03-25T17:52:00Z</dcterms:created>
  <dcterms:modified xsi:type="dcterms:W3CDTF">2021-03-25T17:52:00Z</dcterms:modified>
</cp:coreProperties>
</file>