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61F9" w14:textId="148AD757" w:rsidR="00F15943" w:rsidRDefault="00F15943" w:rsidP="004A2992">
      <w:pPr>
        <w:pStyle w:val="BodyText"/>
        <w:jc w:val="right"/>
      </w:pPr>
      <w:r w:rsidRPr="004A2992">
        <w:t>May 2025</w:t>
      </w:r>
    </w:p>
    <w:p w14:paraId="1E20590C" w14:textId="77777777" w:rsidR="004A2992" w:rsidRPr="004A2992" w:rsidRDefault="004A2992" w:rsidP="004A2992">
      <w:pPr>
        <w:pStyle w:val="BodyText"/>
        <w:jc w:val="right"/>
      </w:pPr>
    </w:p>
    <w:p w14:paraId="74FF5591" w14:textId="67D59761" w:rsidR="00901AD9" w:rsidRPr="001E224F" w:rsidRDefault="00901AD9" w:rsidP="00901AD9">
      <w:pPr>
        <w:pStyle w:val="BodyText"/>
        <w:rPr>
          <w:b/>
          <w:bCs/>
          <w:sz w:val="32"/>
          <w:szCs w:val="32"/>
        </w:rPr>
      </w:pPr>
      <w:r w:rsidRPr="001E224F">
        <w:rPr>
          <w:b/>
          <w:bCs/>
          <w:sz w:val="32"/>
          <w:szCs w:val="32"/>
        </w:rPr>
        <w:t xml:space="preserve">Briefing for </w:t>
      </w:r>
      <w:r w:rsidR="00F15943">
        <w:rPr>
          <w:b/>
          <w:bCs/>
          <w:sz w:val="32"/>
          <w:szCs w:val="32"/>
        </w:rPr>
        <w:t>Members of Parliament</w:t>
      </w:r>
      <w:r w:rsidRPr="001E224F">
        <w:rPr>
          <w:b/>
          <w:bCs/>
          <w:sz w:val="32"/>
          <w:szCs w:val="32"/>
        </w:rPr>
        <w:t>: Employment Rights Bill</w:t>
      </w:r>
    </w:p>
    <w:p w14:paraId="4AE124EE" w14:textId="77777777" w:rsidR="00427186" w:rsidRPr="005F4E94" w:rsidRDefault="00427186" w:rsidP="00427186">
      <w:pPr>
        <w:pStyle w:val="BodyText"/>
        <w:rPr>
          <w:b/>
          <w:bCs/>
          <w:sz w:val="28"/>
          <w:szCs w:val="28"/>
        </w:rPr>
      </w:pPr>
    </w:p>
    <w:p w14:paraId="71D8982C" w14:textId="65E6308B" w:rsidR="00427186" w:rsidRDefault="00427186" w:rsidP="00427186">
      <w:pPr>
        <w:pStyle w:val="BodyText"/>
        <w:rPr>
          <w:b/>
          <w:bCs/>
          <w:sz w:val="28"/>
          <w:szCs w:val="28"/>
        </w:rPr>
      </w:pPr>
      <w:r w:rsidRPr="00427186">
        <w:rPr>
          <w:b/>
          <w:bCs/>
          <w:sz w:val="28"/>
          <w:szCs w:val="28"/>
        </w:rPr>
        <w:t>Introduction</w:t>
      </w:r>
    </w:p>
    <w:p w14:paraId="3BCA906A" w14:textId="77777777" w:rsidR="00E414DB" w:rsidRPr="00DF4BE5" w:rsidRDefault="00E414DB" w:rsidP="00427186">
      <w:pPr>
        <w:pStyle w:val="BodyText"/>
        <w:rPr>
          <w:sz w:val="22"/>
          <w:szCs w:val="22"/>
        </w:rPr>
      </w:pPr>
    </w:p>
    <w:p w14:paraId="2E8148D5" w14:textId="110878C9" w:rsidR="00E414DB" w:rsidRPr="00DF4BE5" w:rsidRDefault="00E414DB" w:rsidP="00E414DB">
      <w:pPr>
        <w:pStyle w:val="BodyText"/>
      </w:pPr>
      <w:r w:rsidRPr="00E414DB">
        <w:t xml:space="preserve">The Employment Rights Bill (ERB), </w:t>
      </w:r>
      <w:r w:rsidR="00376557">
        <w:t xml:space="preserve">which is currently at the </w:t>
      </w:r>
      <w:hyperlink r:id="rId11" w:anchor="timeline" w:history="1">
        <w:r w:rsidR="00376557" w:rsidRPr="00EE4886">
          <w:rPr>
            <w:rStyle w:val="Hyperlink"/>
          </w:rPr>
          <w:t>Committee Stage in the House of Lords</w:t>
        </w:r>
      </w:hyperlink>
      <w:r w:rsidR="00376557">
        <w:t xml:space="preserve"> before progressing to the final stages in the House of </w:t>
      </w:r>
      <w:r w:rsidR="00EE4886">
        <w:t>Commons</w:t>
      </w:r>
      <w:r w:rsidRPr="00E414DB">
        <w:t>, offers a valuable opportunity to strengthen worker protections. However, several clauses risk undermining the flexibility that is essential to the UK’s dynamic labour market. While the government’s commitment to consultation and addressing key details through secondary legislation is welcome, it is vital to strike a fair balance between protecting workers and maintaining business flexibility to avoid deterring growth.</w:t>
      </w:r>
    </w:p>
    <w:p w14:paraId="6863F768" w14:textId="77777777" w:rsidR="00E414DB" w:rsidRPr="00E414DB" w:rsidRDefault="00E414DB" w:rsidP="00E414DB">
      <w:pPr>
        <w:pStyle w:val="BodyText"/>
      </w:pPr>
    </w:p>
    <w:p w14:paraId="30D3EEDE" w14:textId="28C9AF90" w:rsidR="00E414DB" w:rsidRPr="00DF4BE5" w:rsidRDefault="00C0275C" w:rsidP="00E414DB">
      <w:pPr>
        <w:pStyle w:val="BodyText"/>
      </w:pPr>
      <w:r>
        <w:t>The</w:t>
      </w:r>
      <w:hyperlink r:id="rId12" w:history="1">
        <w:r w:rsidRPr="005902C4">
          <w:rPr>
            <w:rStyle w:val="Hyperlink"/>
          </w:rPr>
          <w:t xml:space="preserve"> </w:t>
        </w:r>
        <w:r w:rsidR="00E414DB" w:rsidRPr="005902C4">
          <w:rPr>
            <w:rStyle w:val="Hyperlink"/>
          </w:rPr>
          <w:t>Recruitment &amp; Employment Confederation (REC)</w:t>
        </w:r>
      </w:hyperlink>
      <w:r w:rsidR="00207C52">
        <w:t>, a trade association of which our business is a member,</w:t>
      </w:r>
      <w:r w:rsidR="00E414DB" w:rsidRPr="00E414DB">
        <w:t xml:space="preserve"> is particularly concerned about mandatory offers of guaranteed hours contracts for agency workers, which could lead to increased non-compliance and false self-employment. Proposals on Statutory Sick Pay (SSP) risk placing disproportionate costs on agencies, while effective regulation of the umbrella market requires robust enforcement to protect workers and maintain a level playing field for businesses.</w:t>
      </w:r>
    </w:p>
    <w:p w14:paraId="3F4DBD15" w14:textId="77777777" w:rsidR="00E414DB" w:rsidRPr="00E414DB" w:rsidRDefault="00E414DB" w:rsidP="00E414DB">
      <w:pPr>
        <w:pStyle w:val="BodyText"/>
      </w:pPr>
    </w:p>
    <w:p w14:paraId="4D7F8C2C" w14:textId="77777777" w:rsidR="00E414DB" w:rsidRPr="00DF4BE5" w:rsidRDefault="00E414DB" w:rsidP="00E414DB">
      <w:pPr>
        <w:pStyle w:val="BodyText"/>
      </w:pPr>
      <w:r w:rsidRPr="00E414DB">
        <w:t>To sustain confidence in both temporary and permanent hiring, the government must engage with businesses as well as trade unions. Achieving this balance is crucial to safeguarding economic growth, preserving employment opportunities, and ensuring the resilience of the UK labour market.</w:t>
      </w:r>
    </w:p>
    <w:p w14:paraId="48B769B5" w14:textId="77777777" w:rsidR="00E414DB" w:rsidRPr="00E414DB" w:rsidRDefault="00E414DB" w:rsidP="00E414DB">
      <w:pPr>
        <w:pStyle w:val="BodyText"/>
      </w:pPr>
    </w:p>
    <w:p w14:paraId="31313F70" w14:textId="0D7583D4" w:rsidR="00E414DB" w:rsidRPr="00E414DB" w:rsidRDefault="00E414DB" w:rsidP="00E414DB">
      <w:pPr>
        <w:pStyle w:val="BodyText"/>
      </w:pPr>
      <w:r w:rsidRPr="00E414DB">
        <w:t xml:space="preserve">Below are the key concerns and proposed solutions for your consideration during the </w:t>
      </w:r>
      <w:r w:rsidR="00C0275C">
        <w:t>ongoing scrutiny of this bill</w:t>
      </w:r>
      <w:r w:rsidRPr="00E414DB">
        <w:t>.</w:t>
      </w:r>
    </w:p>
    <w:p w14:paraId="6365EDB6" w14:textId="67E008D3" w:rsidR="00427186" w:rsidRPr="00427186" w:rsidRDefault="00427186" w:rsidP="00427186">
      <w:pPr>
        <w:pStyle w:val="BodyText"/>
        <w:rPr>
          <w:sz w:val="22"/>
          <w:szCs w:val="22"/>
        </w:rPr>
      </w:pPr>
    </w:p>
    <w:p w14:paraId="585D59C6" w14:textId="77777777" w:rsidR="00427186" w:rsidRPr="00427186" w:rsidRDefault="00427186" w:rsidP="001E224F">
      <w:pPr>
        <w:pStyle w:val="BodyText"/>
        <w:rPr>
          <w:b/>
          <w:bCs/>
          <w:sz w:val="28"/>
          <w:szCs w:val="28"/>
        </w:rPr>
      </w:pPr>
      <w:r w:rsidRPr="00427186">
        <w:rPr>
          <w:b/>
          <w:bCs/>
          <w:sz w:val="28"/>
          <w:szCs w:val="28"/>
        </w:rPr>
        <w:t>Key Concerns and Proposed Measures</w:t>
      </w:r>
    </w:p>
    <w:p w14:paraId="01C2E97E" w14:textId="77777777" w:rsidR="001E224F" w:rsidRDefault="001E224F" w:rsidP="001E224F">
      <w:pPr>
        <w:pStyle w:val="BodyText"/>
        <w:rPr>
          <w:b/>
          <w:bCs/>
          <w:sz w:val="22"/>
          <w:szCs w:val="22"/>
        </w:rPr>
      </w:pPr>
    </w:p>
    <w:p w14:paraId="1049E809" w14:textId="7185A5FA" w:rsidR="00427186" w:rsidRPr="00C0275C" w:rsidRDefault="00427186" w:rsidP="001E224F">
      <w:pPr>
        <w:pStyle w:val="BodyText"/>
        <w:rPr>
          <w:b/>
          <w:bCs/>
        </w:rPr>
      </w:pPr>
      <w:r w:rsidRPr="00C0275C">
        <w:rPr>
          <w:b/>
          <w:bCs/>
        </w:rPr>
        <w:t>Offer of Guaranteed Hours to Agency Workers</w:t>
      </w:r>
    </w:p>
    <w:p w14:paraId="5F16E365" w14:textId="77777777" w:rsidR="00A82B2C" w:rsidRPr="00C0275C" w:rsidRDefault="00A82B2C" w:rsidP="001E224F">
      <w:pPr>
        <w:pStyle w:val="BodyText"/>
        <w:rPr>
          <w:b/>
          <w:bCs/>
        </w:rPr>
      </w:pPr>
    </w:p>
    <w:p w14:paraId="7E575258" w14:textId="77777777" w:rsidR="00427186" w:rsidRPr="00C0275C" w:rsidRDefault="00427186" w:rsidP="00427186">
      <w:pPr>
        <w:pStyle w:val="BodyText"/>
      </w:pPr>
      <w:r w:rsidRPr="00C0275C">
        <w:rPr>
          <w:b/>
          <w:bCs/>
        </w:rPr>
        <w:t>Challenge:</w:t>
      </w:r>
    </w:p>
    <w:p w14:paraId="76FEF932" w14:textId="77777777" w:rsidR="00427186" w:rsidRPr="00C0275C" w:rsidRDefault="00427186" w:rsidP="00427186">
      <w:pPr>
        <w:pStyle w:val="BodyText"/>
        <w:numPr>
          <w:ilvl w:val="0"/>
          <w:numId w:val="36"/>
        </w:numPr>
      </w:pPr>
      <w:r w:rsidRPr="00C0275C">
        <w:t>The requirement for agencies to offer guaranteed hours contracts risks eroding flexibility for agency workers, many of whom choose this type of work to retain control over their schedules.</w:t>
      </w:r>
    </w:p>
    <w:p w14:paraId="2EAADD7D" w14:textId="77777777" w:rsidR="00427186" w:rsidRPr="00C0275C" w:rsidRDefault="00427186" w:rsidP="00427186">
      <w:pPr>
        <w:pStyle w:val="BodyText"/>
        <w:numPr>
          <w:ilvl w:val="0"/>
          <w:numId w:val="36"/>
        </w:numPr>
      </w:pPr>
      <w:r w:rsidRPr="00C0275C">
        <w:t>Mandating guaranteed hours may lead to increased non-compliance and false self-employment, as workers seek to avoid restrictive contracts.</w:t>
      </w:r>
    </w:p>
    <w:p w14:paraId="096AE140" w14:textId="77777777" w:rsidR="00A82B2C" w:rsidRPr="00C0275C" w:rsidRDefault="00A82B2C" w:rsidP="00A82B2C">
      <w:pPr>
        <w:pStyle w:val="BodyText"/>
        <w:ind w:left="720"/>
      </w:pPr>
    </w:p>
    <w:p w14:paraId="6BFFD4A8" w14:textId="77777777" w:rsidR="00427186" w:rsidRPr="00C0275C" w:rsidRDefault="00427186" w:rsidP="00427186">
      <w:pPr>
        <w:pStyle w:val="BodyText"/>
      </w:pPr>
      <w:r w:rsidRPr="00C0275C">
        <w:rPr>
          <w:b/>
          <w:bCs/>
        </w:rPr>
        <w:t>Proposed Solution:</w:t>
      </w:r>
    </w:p>
    <w:p w14:paraId="508E1F7A" w14:textId="77777777" w:rsidR="00427186" w:rsidRPr="00C0275C" w:rsidRDefault="00427186" w:rsidP="00427186">
      <w:pPr>
        <w:pStyle w:val="BodyText"/>
        <w:numPr>
          <w:ilvl w:val="0"/>
          <w:numId w:val="37"/>
        </w:numPr>
      </w:pPr>
      <w:r w:rsidRPr="00C0275C">
        <w:t>Allow agencies, rather than hirers, to manage the offer of guaranteed hours contracts to better reflect the nature of agency work.</w:t>
      </w:r>
    </w:p>
    <w:p w14:paraId="775A5B44" w14:textId="77777777" w:rsidR="00427186" w:rsidRPr="00C0275C" w:rsidRDefault="00427186" w:rsidP="00427186">
      <w:pPr>
        <w:pStyle w:val="BodyText"/>
        <w:numPr>
          <w:ilvl w:val="0"/>
          <w:numId w:val="37"/>
        </w:numPr>
      </w:pPr>
      <w:r w:rsidRPr="00C0275C">
        <w:t>Base the reference period for calculating qualifying hours on hours worked with the agency, not across multiple hirers.</w:t>
      </w:r>
    </w:p>
    <w:p w14:paraId="606C38A3" w14:textId="77777777" w:rsidR="00427186" w:rsidRPr="00C0275C" w:rsidRDefault="00427186" w:rsidP="00427186">
      <w:pPr>
        <w:pStyle w:val="BodyText"/>
        <w:numPr>
          <w:ilvl w:val="0"/>
          <w:numId w:val="37"/>
        </w:numPr>
      </w:pPr>
      <w:r w:rsidRPr="00C0275C">
        <w:t>Enable agency workers to request guaranteed hours contracts if they wish, rather than imposing a blanket requirement for agencies to offer them.</w:t>
      </w:r>
    </w:p>
    <w:p w14:paraId="32C5A5A6" w14:textId="645015A9" w:rsidR="00427186" w:rsidRPr="00C0275C" w:rsidRDefault="00427186" w:rsidP="00427186">
      <w:pPr>
        <w:pStyle w:val="BodyText"/>
      </w:pPr>
    </w:p>
    <w:p w14:paraId="6370A260" w14:textId="6F5BE42F" w:rsidR="00427186" w:rsidRPr="00C0275C" w:rsidRDefault="00427186" w:rsidP="00A82B2C">
      <w:pPr>
        <w:pStyle w:val="BodyText"/>
        <w:rPr>
          <w:b/>
          <w:bCs/>
        </w:rPr>
      </w:pPr>
      <w:r w:rsidRPr="00C0275C">
        <w:rPr>
          <w:b/>
          <w:bCs/>
        </w:rPr>
        <w:t>Reasonable Notice of a Shift</w:t>
      </w:r>
    </w:p>
    <w:p w14:paraId="4D86F806" w14:textId="77777777" w:rsidR="00A82B2C" w:rsidRPr="00C0275C" w:rsidRDefault="00A82B2C" w:rsidP="00427186">
      <w:pPr>
        <w:pStyle w:val="BodyText"/>
        <w:rPr>
          <w:b/>
          <w:bCs/>
        </w:rPr>
      </w:pPr>
    </w:p>
    <w:p w14:paraId="73122B3E" w14:textId="334DDF94" w:rsidR="00427186" w:rsidRPr="00C0275C" w:rsidRDefault="00427186" w:rsidP="00427186">
      <w:pPr>
        <w:pStyle w:val="BodyText"/>
      </w:pPr>
      <w:r w:rsidRPr="00C0275C">
        <w:rPr>
          <w:b/>
          <w:bCs/>
        </w:rPr>
        <w:t>Challenge:</w:t>
      </w:r>
    </w:p>
    <w:p w14:paraId="1B11D8B8" w14:textId="77777777" w:rsidR="00427186" w:rsidRPr="00C0275C" w:rsidRDefault="00427186" w:rsidP="00427186">
      <w:pPr>
        <w:pStyle w:val="BodyText"/>
        <w:numPr>
          <w:ilvl w:val="0"/>
          <w:numId w:val="38"/>
        </w:numPr>
      </w:pPr>
      <w:r w:rsidRPr="00C0275C">
        <w:t>Agencies rely on information from hirers about the availability and cancellation of assignments.</w:t>
      </w:r>
    </w:p>
    <w:p w14:paraId="16B3D39A" w14:textId="77777777" w:rsidR="00427186" w:rsidRPr="00C0275C" w:rsidRDefault="00427186" w:rsidP="00427186">
      <w:pPr>
        <w:pStyle w:val="BodyText"/>
        <w:numPr>
          <w:ilvl w:val="0"/>
          <w:numId w:val="38"/>
        </w:numPr>
      </w:pPr>
      <w:r w:rsidRPr="00C0275C">
        <w:lastRenderedPageBreak/>
        <w:t>Placing a rigid obligation on agencies to provide “reasonable notice” without considering the timing and nature of information provided by hirers may unfairly penalise agencies.</w:t>
      </w:r>
    </w:p>
    <w:p w14:paraId="041EBAB1" w14:textId="77777777" w:rsidR="00A82B2C" w:rsidRPr="00C0275C" w:rsidRDefault="00A82B2C" w:rsidP="00A82B2C">
      <w:pPr>
        <w:pStyle w:val="BodyText"/>
        <w:ind w:left="720"/>
      </w:pPr>
    </w:p>
    <w:p w14:paraId="0BC97CBC" w14:textId="77777777" w:rsidR="00427186" w:rsidRPr="00C0275C" w:rsidRDefault="00427186" w:rsidP="00427186">
      <w:pPr>
        <w:pStyle w:val="BodyText"/>
      </w:pPr>
      <w:r w:rsidRPr="00C0275C">
        <w:rPr>
          <w:b/>
          <w:bCs/>
        </w:rPr>
        <w:t>Proposed Solution:</w:t>
      </w:r>
    </w:p>
    <w:p w14:paraId="4BC2FE34" w14:textId="77777777" w:rsidR="00427186" w:rsidRPr="00C0275C" w:rsidRDefault="00427186" w:rsidP="00427186">
      <w:pPr>
        <w:pStyle w:val="BodyText"/>
        <w:numPr>
          <w:ilvl w:val="0"/>
          <w:numId w:val="39"/>
        </w:numPr>
      </w:pPr>
      <w:r w:rsidRPr="00C0275C">
        <w:t>Define “reasonable notice” in the context of agency work to mean that an agency has offered an assignment as soon as reasonably practicable after receiving information from the hirer.</w:t>
      </w:r>
    </w:p>
    <w:p w14:paraId="129EFCCA" w14:textId="77777777" w:rsidR="00427186" w:rsidRPr="00C0275C" w:rsidRDefault="00427186" w:rsidP="00427186">
      <w:pPr>
        <w:pStyle w:val="BodyText"/>
        <w:numPr>
          <w:ilvl w:val="0"/>
          <w:numId w:val="39"/>
        </w:numPr>
      </w:pPr>
      <w:r w:rsidRPr="00C0275C">
        <w:t>Allow reasonable notice to account for the time required for agencies to conduct suitability assessments under the Conduct of Employment Agencies and Employment Businesses Regulations 2003.</w:t>
      </w:r>
    </w:p>
    <w:p w14:paraId="78549A6F" w14:textId="40A97683" w:rsidR="00427186" w:rsidRPr="00C0275C" w:rsidRDefault="00427186" w:rsidP="00427186">
      <w:pPr>
        <w:pStyle w:val="BodyText"/>
      </w:pPr>
    </w:p>
    <w:p w14:paraId="60B59859" w14:textId="4034603F" w:rsidR="00427186" w:rsidRPr="00C0275C" w:rsidRDefault="00427186" w:rsidP="003C2212">
      <w:pPr>
        <w:pStyle w:val="BodyText"/>
        <w:rPr>
          <w:b/>
          <w:bCs/>
        </w:rPr>
      </w:pPr>
      <w:r w:rsidRPr="00C0275C">
        <w:rPr>
          <w:b/>
          <w:bCs/>
        </w:rPr>
        <w:t>Cancellation of a Shift and Right to Payment</w:t>
      </w:r>
    </w:p>
    <w:p w14:paraId="770E9E4A" w14:textId="77777777" w:rsidR="003C2212" w:rsidRPr="00C0275C" w:rsidRDefault="003C2212" w:rsidP="00427186">
      <w:pPr>
        <w:pStyle w:val="BodyText"/>
        <w:rPr>
          <w:b/>
          <w:bCs/>
        </w:rPr>
      </w:pPr>
    </w:p>
    <w:p w14:paraId="31A26A45" w14:textId="345D36DD" w:rsidR="00427186" w:rsidRPr="00C0275C" w:rsidRDefault="00427186" w:rsidP="00427186">
      <w:pPr>
        <w:pStyle w:val="BodyText"/>
      </w:pPr>
      <w:r w:rsidRPr="00C0275C">
        <w:rPr>
          <w:b/>
          <w:bCs/>
        </w:rPr>
        <w:t>Challenge:</w:t>
      </w:r>
    </w:p>
    <w:p w14:paraId="3ED3AE09" w14:textId="77777777" w:rsidR="00427186" w:rsidRPr="00C0275C" w:rsidRDefault="00427186" w:rsidP="00427186">
      <w:pPr>
        <w:pStyle w:val="BodyText"/>
        <w:numPr>
          <w:ilvl w:val="0"/>
          <w:numId w:val="40"/>
        </w:numPr>
      </w:pPr>
      <w:r w:rsidRPr="00C0275C">
        <w:t>Shift cancellations at short notice can leave agency workers without income. However, agencies often have no control over cancellations initiated by hirers but may still bear the financial responsibility.</w:t>
      </w:r>
    </w:p>
    <w:p w14:paraId="2AF92228" w14:textId="77777777" w:rsidR="003C2212" w:rsidRPr="00C0275C" w:rsidRDefault="003C2212" w:rsidP="003C2212">
      <w:pPr>
        <w:pStyle w:val="BodyText"/>
        <w:ind w:left="720"/>
      </w:pPr>
    </w:p>
    <w:p w14:paraId="59C8685C" w14:textId="77777777" w:rsidR="00427186" w:rsidRPr="00C0275C" w:rsidRDefault="00427186" w:rsidP="00427186">
      <w:pPr>
        <w:pStyle w:val="BodyText"/>
      </w:pPr>
      <w:r w:rsidRPr="00C0275C">
        <w:rPr>
          <w:b/>
          <w:bCs/>
        </w:rPr>
        <w:t>Proposed Solution:</w:t>
      </w:r>
    </w:p>
    <w:p w14:paraId="78586A22" w14:textId="77777777" w:rsidR="00427186" w:rsidRPr="00C0275C" w:rsidRDefault="00427186" w:rsidP="00427186">
      <w:pPr>
        <w:pStyle w:val="BodyText"/>
        <w:numPr>
          <w:ilvl w:val="0"/>
          <w:numId w:val="41"/>
        </w:numPr>
      </w:pPr>
      <w:r w:rsidRPr="00C0275C">
        <w:t>Introduce a joint obligation for agencies and hirers to provide notice of cancellations and share the liability for reasonable payment to the worker when a shift is cancelled.</w:t>
      </w:r>
    </w:p>
    <w:p w14:paraId="72EC9CF3" w14:textId="77777777" w:rsidR="00427186" w:rsidRPr="00C0275C" w:rsidRDefault="00427186" w:rsidP="00427186">
      <w:pPr>
        <w:pStyle w:val="BodyText"/>
        <w:numPr>
          <w:ilvl w:val="0"/>
          <w:numId w:val="41"/>
        </w:numPr>
      </w:pPr>
      <w:r w:rsidRPr="00C0275C">
        <w:t>Allow additional terms relating to cancellation to be agreed between agencies and hirers, with hirers bearing responsibility for any inaccuracies or failure to provide agreed notice.</w:t>
      </w:r>
    </w:p>
    <w:p w14:paraId="0C89418F" w14:textId="77777777" w:rsidR="003C2212" w:rsidRPr="00C0275C" w:rsidRDefault="003C2212" w:rsidP="003C2212">
      <w:pPr>
        <w:pStyle w:val="BodyText"/>
      </w:pPr>
    </w:p>
    <w:p w14:paraId="1E76D8D1" w14:textId="13505994" w:rsidR="00427186" w:rsidRPr="00C0275C" w:rsidRDefault="00427186" w:rsidP="003C2212">
      <w:pPr>
        <w:pStyle w:val="BodyText"/>
        <w:rPr>
          <w:b/>
          <w:bCs/>
        </w:rPr>
      </w:pPr>
      <w:r w:rsidRPr="00C0275C">
        <w:rPr>
          <w:b/>
          <w:bCs/>
        </w:rPr>
        <w:t>Agency Workers’ Right to Request a Guaranteed Hours Contract</w:t>
      </w:r>
    </w:p>
    <w:p w14:paraId="34665F0B" w14:textId="77777777" w:rsidR="003C2212" w:rsidRPr="00C0275C" w:rsidRDefault="003C2212" w:rsidP="00427186">
      <w:pPr>
        <w:pStyle w:val="BodyText"/>
        <w:rPr>
          <w:b/>
          <w:bCs/>
        </w:rPr>
      </w:pPr>
    </w:p>
    <w:p w14:paraId="506880B3" w14:textId="08A4C6AC" w:rsidR="00427186" w:rsidRPr="00C0275C" w:rsidRDefault="00427186" w:rsidP="00427186">
      <w:pPr>
        <w:pStyle w:val="BodyText"/>
      </w:pPr>
      <w:r w:rsidRPr="00C0275C">
        <w:rPr>
          <w:b/>
          <w:bCs/>
        </w:rPr>
        <w:t>Challenge:</w:t>
      </w:r>
    </w:p>
    <w:p w14:paraId="541E2466" w14:textId="77777777" w:rsidR="00427186" w:rsidRPr="00C0275C" w:rsidRDefault="00427186" w:rsidP="00427186">
      <w:pPr>
        <w:pStyle w:val="BodyText"/>
        <w:numPr>
          <w:ilvl w:val="0"/>
          <w:numId w:val="42"/>
        </w:numPr>
      </w:pPr>
      <w:r w:rsidRPr="00C0275C">
        <w:t>Agency workers, unlike directly employed zero-hours workers, often prefer flexible working arrangements.</w:t>
      </w:r>
    </w:p>
    <w:p w14:paraId="236740F0" w14:textId="77777777" w:rsidR="00427186" w:rsidRPr="00C0275C" w:rsidRDefault="00427186" w:rsidP="00427186">
      <w:pPr>
        <w:pStyle w:val="BodyText"/>
        <w:numPr>
          <w:ilvl w:val="0"/>
          <w:numId w:val="42"/>
        </w:numPr>
      </w:pPr>
      <w:r w:rsidRPr="00C0275C">
        <w:t>Imposing a mandatory process for offering guaranteed hours contracts adds unnecessary complexity and undermines the choice that many agency workers seek.</w:t>
      </w:r>
    </w:p>
    <w:p w14:paraId="30CB9209" w14:textId="77777777" w:rsidR="003C2212" w:rsidRPr="00C0275C" w:rsidRDefault="003C2212" w:rsidP="003C2212">
      <w:pPr>
        <w:pStyle w:val="BodyText"/>
        <w:ind w:left="720"/>
      </w:pPr>
    </w:p>
    <w:p w14:paraId="4B32EF89" w14:textId="77777777" w:rsidR="00427186" w:rsidRPr="00C0275C" w:rsidRDefault="00427186" w:rsidP="00427186">
      <w:pPr>
        <w:pStyle w:val="BodyText"/>
      </w:pPr>
      <w:r w:rsidRPr="00C0275C">
        <w:rPr>
          <w:b/>
          <w:bCs/>
        </w:rPr>
        <w:t>Proposed Solution:</w:t>
      </w:r>
    </w:p>
    <w:p w14:paraId="7C1C2505" w14:textId="77777777" w:rsidR="00427186" w:rsidRPr="00C0275C" w:rsidRDefault="00427186" w:rsidP="00427186">
      <w:pPr>
        <w:pStyle w:val="BodyText"/>
        <w:numPr>
          <w:ilvl w:val="0"/>
          <w:numId w:val="43"/>
        </w:numPr>
      </w:pPr>
      <w:r w:rsidRPr="00C0275C">
        <w:t>Allow agency workers to request a guaranteed hours contract if desired, rather than placing a blanket requirement on agencies to offer such contracts.</w:t>
      </w:r>
    </w:p>
    <w:p w14:paraId="5EC5313E" w14:textId="77777777" w:rsidR="00427186" w:rsidRPr="00C0275C" w:rsidRDefault="00427186" w:rsidP="00427186">
      <w:pPr>
        <w:pStyle w:val="BodyText"/>
        <w:numPr>
          <w:ilvl w:val="0"/>
          <w:numId w:val="43"/>
        </w:numPr>
      </w:pPr>
      <w:r w:rsidRPr="00C0275C">
        <w:t>Ensure that information about this right is provided through the Key Information Document, empowering workers to make informed choices.</w:t>
      </w:r>
    </w:p>
    <w:p w14:paraId="5D45021E" w14:textId="77777777" w:rsidR="005F4E94" w:rsidRPr="00C0275C" w:rsidRDefault="005F4E94" w:rsidP="005F4E94">
      <w:pPr>
        <w:pStyle w:val="BodyText"/>
      </w:pPr>
    </w:p>
    <w:p w14:paraId="4A6CB836" w14:textId="441B1016" w:rsidR="00427186" w:rsidRPr="00C0275C" w:rsidRDefault="00427186" w:rsidP="005F4E94">
      <w:pPr>
        <w:pStyle w:val="BodyText"/>
        <w:rPr>
          <w:b/>
          <w:bCs/>
        </w:rPr>
      </w:pPr>
      <w:r w:rsidRPr="00C0275C">
        <w:rPr>
          <w:b/>
          <w:bCs/>
        </w:rPr>
        <w:t>Amendments to the Agency Workers Regulations (AWR) 2010</w:t>
      </w:r>
    </w:p>
    <w:p w14:paraId="327EA82F" w14:textId="77777777" w:rsidR="005F4E94" w:rsidRPr="00C0275C" w:rsidRDefault="005F4E94" w:rsidP="00427186">
      <w:pPr>
        <w:pStyle w:val="BodyText"/>
        <w:rPr>
          <w:b/>
          <w:bCs/>
        </w:rPr>
      </w:pPr>
    </w:p>
    <w:p w14:paraId="47E3DD16" w14:textId="3B6F28D8" w:rsidR="00427186" w:rsidRPr="00C0275C" w:rsidRDefault="00427186" w:rsidP="00427186">
      <w:pPr>
        <w:pStyle w:val="BodyText"/>
      </w:pPr>
      <w:r w:rsidRPr="00C0275C">
        <w:rPr>
          <w:b/>
          <w:bCs/>
        </w:rPr>
        <w:t>Challenge:</w:t>
      </w:r>
    </w:p>
    <w:p w14:paraId="0BA57D4C" w14:textId="77777777" w:rsidR="00427186" w:rsidRPr="00C0275C" w:rsidRDefault="00427186" w:rsidP="00427186">
      <w:pPr>
        <w:pStyle w:val="BodyText"/>
        <w:numPr>
          <w:ilvl w:val="0"/>
          <w:numId w:val="44"/>
        </w:numPr>
      </w:pPr>
      <w:r w:rsidRPr="00C0275C">
        <w:t>Regulation 13 of the AWR 2010 only entitles agency workers to be informed about vacancies within the hirer’s business, without any obligation to offer genuine opportunities.</w:t>
      </w:r>
    </w:p>
    <w:p w14:paraId="60B3AD1B" w14:textId="77777777" w:rsidR="005F4E94" w:rsidRPr="00C0275C" w:rsidRDefault="005F4E94" w:rsidP="005F4E94">
      <w:pPr>
        <w:pStyle w:val="BodyText"/>
        <w:ind w:left="720"/>
      </w:pPr>
    </w:p>
    <w:p w14:paraId="66C47A17" w14:textId="77777777" w:rsidR="00427186" w:rsidRPr="00C0275C" w:rsidRDefault="00427186" w:rsidP="00427186">
      <w:pPr>
        <w:pStyle w:val="BodyText"/>
      </w:pPr>
      <w:r w:rsidRPr="00C0275C">
        <w:rPr>
          <w:b/>
          <w:bCs/>
        </w:rPr>
        <w:t>Proposed Solution:</w:t>
      </w:r>
    </w:p>
    <w:p w14:paraId="1A8CA803" w14:textId="77777777" w:rsidR="00427186" w:rsidRPr="00C0275C" w:rsidRDefault="00427186" w:rsidP="00427186">
      <w:pPr>
        <w:pStyle w:val="BodyText"/>
        <w:numPr>
          <w:ilvl w:val="0"/>
          <w:numId w:val="45"/>
        </w:numPr>
      </w:pPr>
      <w:r w:rsidRPr="00C0275C">
        <w:t>Strengthen Regulation 13 to ensure agency workers have a stronger right to apply for and be considered for permanent vacancies within the hirer’s business.</w:t>
      </w:r>
    </w:p>
    <w:p w14:paraId="211644E5" w14:textId="77777777" w:rsidR="00427186" w:rsidRPr="00C0275C" w:rsidRDefault="00427186" w:rsidP="00427186">
      <w:pPr>
        <w:pStyle w:val="BodyText"/>
        <w:numPr>
          <w:ilvl w:val="0"/>
          <w:numId w:val="45"/>
        </w:numPr>
      </w:pPr>
      <w:r w:rsidRPr="00C0275C">
        <w:t>Require hirers to make genuine efforts to offer suitable work to agency workers where appropriate.</w:t>
      </w:r>
    </w:p>
    <w:p w14:paraId="6E5DDBCE" w14:textId="6804D3DA" w:rsidR="00427186" w:rsidRPr="00C0275C" w:rsidRDefault="00427186" w:rsidP="00427186">
      <w:pPr>
        <w:pStyle w:val="BodyText"/>
      </w:pPr>
    </w:p>
    <w:p w14:paraId="21C66D24" w14:textId="1C403361" w:rsidR="00427186" w:rsidRPr="00C0275C" w:rsidRDefault="00427186" w:rsidP="005F4E94">
      <w:pPr>
        <w:pStyle w:val="BodyText"/>
        <w:rPr>
          <w:b/>
          <w:bCs/>
        </w:rPr>
      </w:pPr>
      <w:r w:rsidRPr="00C0275C">
        <w:rPr>
          <w:b/>
          <w:bCs/>
        </w:rPr>
        <w:t>Umbrella Companies and Enforcement</w:t>
      </w:r>
    </w:p>
    <w:p w14:paraId="23654E3A" w14:textId="77777777" w:rsidR="005F4E94" w:rsidRPr="00C0275C" w:rsidRDefault="005F4E94" w:rsidP="00427186">
      <w:pPr>
        <w:pStyle w:val="BodyText"/>
        <w:rPr>
          <w:b/>
          <w:bCs/>
        </w:rPr>
      </w:pPr>
    </w:p>
    <w:p w14:paraId="5455C8EE" w14:textId="65FFDA44" w:rsidR="00427186" w:rsidRPr="00C0275C" w:rsidRDefault="00427186" w:rsidP="00427186">
      <w:pPr>
        <w:pStyle w:val="BodyText"/>
      </w:pPr>
      <w:r w:rsidRPr="00C0275C">
        <w:rPr>
          <w:b/>
          <w:bCs/>
        </w:rPr>
        <w:t>Challenge:</w:t>
      </w:r>
    </w:p>
    <w:p w14:paraId="7A0A3DE8" w14:textId="77777777" w:rsidR="00427186" w:rsidRPr="00C0275C" w:rsidRDefault="00427186" w:rsidP="00427186">
      <w:pPr>
        <w:pStyle w:val="BodyText"/>
        <w:numPr>
          <w:ilvl w:val="0"/>
          <w:numId w:val="46"/>
        </w:numPr>
      </w:pPr>
      <w:r w:rsidRPr="00C0275C">
        <w:lastRenderedPageBreak/>
        <w:t>Non-compliance and exploitation in the umbrella company market remain a significant concern.</w:t>
      </w:r>
    </w:p>
    <w:p w14:paraId="75F5D940" w14:textId="77777777" w:rsidR="00427186" w:rsidRPr="00C0275C" w:rsidRDefault="00427186" w:rsidP="00427186">
      <w:pPr>
        <w:pStyle w:val="BodyText"/>
        <w:numPr>
          <w:ilvl w:val="0"/>
          <w:numId w:val="46"/>
        </w:numPr>
      </w:pPr>
      <w:r w:rsidRPr="00C0275C">
        <w:t>Effective enforcement is essential to ensure that new regulations protect workers and maintain a level playing field for businesses.</w:t>
      </w:r>
    </w:p>
    <w:p w14:paraId="69A25334" w14:textId="77777777" w:rsidR="005F4E94" w:rsidRPr="00C0275C" w:rsidRDefault="005F4E94" w:rsidP="005F4E94">
      <w:pPr>
        <w:pStyle w:val="BodyText"/>
        <w:ind w:left="720"/>
      </w:pPr>
    </w:p>
    <w:p w14:paraId="739C62B5" w14:textId="77777777" w:rsidR="00427186" w:rsidRPr="00C0275C" w:rsidRDefault="00427186" w:rsidP="00427186">
      <w:pPr>
        <w:pStyle w:val="BodyText"/>
      </w:pPr>
      <w:r w:rsidRPr="00C0275C">
        <w:rPr>
          <w:b/>
          <w:bCs/>
        </w:rPr>
        <w:t>Proposed Solution:</w:t>
      </w:r>
    </w:p>
    <w:p w14:paraId="5183C0B3" w14:textId="77777777" w:rsidR="00427186" w:rsidRPr="00C0275C" w:rsidRDefault="00427186" w:rsidP="00427186">
      <w:pPr>
        <w:pStyle w:val="BodyText"/>
        <w:numPr>
          <w:ilvl w:val="0"/>
          <w:numId w:val="47"/>
        </w:numPr>
      </w:pPr>
      <w:r w:rsidRPr="00C0275C">
        <w:t>Adequately fund and resource the Fair Work Agency to ensure effective enforcement of regulations on umbrella companies.</w:t>
      </w:r>
    </w:p>
    <w:p w14:paraId="4684721C" w14:textId="77777777" w:rsidR="00427186" w:rsidRPr="00C0275C" w:rsidRDefault="00427186" w:rsidP="00427186">
      <w:pPr>
        <w:pStyle w:val="BodyText"/>
        <w:numPr>
          <w:ilvl w:val="0"/>
          <w:numId w:val="47"/>
        </w:numPr>
      </w:pPr>
      <w:r w:rsidRPr="00C0275C">
        <w:t>Introduce robust oversight mechanisms to prevent non-compliance and ensure fairness for both workers and businesses.</w:t>
      </w:r>
    </w:p>
    <w:p w14:paraId="621A8944" w14:textId="135EF22C" w:rsidR="00427186" w:rsidRPr="00C0275C" w:rsidRDefault="00427186" w:rsidP="00427186">
      <w:pPr>
        <w:pStyle w:val="BodyText"/>
      </w:pPr>
    </w:p>
    <w:p w14:paraId="2F10E187" w14:textId="3C7D3FBA" w:rsidR="00427186" w:rsidRPr="00C0275C" w:rsidRDefault="00427186" w:rsidP="005F4E94">
      <w:pPr>
        <w:pStyle w:val="BodyText"/>
        <w:rPr>
          <w:b/>
          <w:bCs/>
        </w:rPr>
      </w:pPr>
      <w:r w:rsidRPr="00C0275C">
        <w:rPr>
          <w:b/>
          <w:bCs/>
        </w:rPr>
        <w:t>Statutory Sick Pay (SSP) and Cost Burdens</w:t>
      </w:r>
    </w:p>
    <w:p w14:paraId="79544F8A" w14:textId="77777777" w:rsidR="005F4E94" w:rsidRPr="00C0275C" w:rsidRDefault="005F4E94" w:rsidP="00427186">
      <w:pPr>
        <w:pStyle w:val="BodyText"/>
        <w:rPr>
          <w:b/>
          <w:bCs/>
        </w:rPr>
      </w:pPr>
    </w:p>
    <w:p w14:paraId="35A8BA21" w14:textId="2C028FD3" w:rsidR="00427186" w:rsidRPr="00C0275C" w:rsidRDefault="00427186" w:rsidP="00427186">
      <w:pPr>
        <w:pStyle w:val="BodyText"/>
      </w:pPr>
      <w:r w:rsidRPr="00C0275C">
        <w:rPr>
          <w:b/>
          <w:bCs/>
        </w:rPr>
        <w:t>Challenge:</w:t>
      </w:r>
    </w:p>
    <w:p w14:paraId="24F965C6" w14:textId="77777777" w:rsidR="00427186" w:rsidRPr="00C0275C" w:rsidRDefault="00427186" w:rsidP="00427186">
      <w:pPr>
        <w:pStyle w:val="BodyText"/>
        <w:numPr>
          <w:ilvl w:val="0"/>
          <w:numId w:val="48"/>
        </w:numPr>
      </w:pPr>
      <w:r w:rsidRPr="00C0275C">
        <w:t>Expanding the scope of Statutory Sick Pay (SSP) is positive for workers but may place a disproportionate financial burden on agencies rather than hirers.</w:t>
      </w:r>
    </w:p>
    <w:p w14:paraId="0EC211FB" w14:textId="77777777" w:rsidR="00427186" w:rsidRPr="00C0275C" w:rsidRDefault="00427186" w:rsidP="00427186">
      <w:pPr>
        <w:pStyle w:val="BodyText"/>
        <w:numPr>
          <w:ilvl w:val="0"/>
          <w:numId w:val="48"/>
        </w:numPr>
      </w:pPr>
      <w:r w:rsidRPr="00C0275C">
        <w:t>Agencies already struggle to reclaim SSP from client businesses, which could further undermine their financial stability.</w:t>
      </w:r>
    </w:p>
    <w:p w14:paraId="68E2AFA9" w14:textId="77777777" w:rsidR="005F4E94" w:rsidRPr="00C0275C" w:rsidRDefault="005F4E94" w:rsidP="005F4E94">
      <w:pPr>
        <w:pStyle w:val="BodyText"/>
        <w:ind w:left="720"/>
      </w:pPr>
    </w:p>
    <w:p w14:paraId="463894BD" w14:textId="77777777" w:rsidR="00427186" w:rsidRPr="00C0275C" w:rsidRDefault="00427186" w:rsidP="00427186">
      <w:pPr>
        <w:pStyle w:val="BodyText"/>
      </w:pPr>
      <w:r w:rsidRPr="00C0275C">
        <w:rPr>
          <w:b/>
          <w:bCs/>
        </w:rPr>
        <w:t>Proposed Solution:</w:t>
      </w:r>
    </w:p>
    <w:p w14:paraId="03AEE63D" w14:textId="77777777" w:rsidR="00427186" w:rsidRPr="00C0275C" w:rsidRDefault="00427186" w:rsidP="00427186">
      <w:pPr>
        <w:pStyle w:val="BodyText"/>
        <w:numPr>
          <w:ilvl w:val="0"/>
          <w:numId w:val="49"/>
        </w:numPr>
      </w:pPr>
      <w:r w:rsidRPr="00C0275C">
        <w:t>Ensure that the cost of SSP is shared fairly between agencies and hirers, rather than placing the entire burden on agencies.</w:t>
      </w:r>
    </w:p>
    <w:p w14:paraId="67C361E3" w14:textId="77777777" w:rsidR="00427186" w:rsidRPr="00C0275C" w:rsidRDefault="00427186" w:rsidP="00427186">
      <w:pPr>
        <w:pStyle w:val="BodyText"/>
        <w:numPr>
          <w:ilvl w:val="0"/>
          <w:numId w:val="49"/>
        </w:numPr>
      </w:pPr>
      <w:r w:rsidRPr="00C0275C">
        <w:t>Set SSP at a level that enables agencies to retain staff without being forced into capability-based dismissals due to cost pressures.</w:t>
      </w:r>
    </w:p>
    <w:p w14:paraId="4D8F365A" w14:textId="5B79C94C" w:rsidR="00427186" w:rsidRPr="00C0275C" w:rsidRDefault="00427186" w:rsidP="00427186">
      <w:pPr>
        <w:pStyle w:val="BodyText"/>
      </w:pPr>
    </w:p>
    <w:p w14:paraId="0A250253" w14:textId="77777777" w:rsidR="00427186" w:rsidRPr="00C0275C" w:rsidRDefault="00427186" w:rsidP="005F4E94">
      <w:pPr>
        <w:pStyle w:val="BodyText"/>
        <w:rPr>
          <w:b/>
          <w:bCs/>
        </w:rPr>
      </w:pPr>
      <w:r w:rsidRPr="00C0275C">
        <w:rPr>
          <w:b/>
          <w:bCs/>
        </w:rPr>
        <w:t>Recommendations</w:t>
      </w:r>
    </w:p>
    <w:p w14:paraId="4364D4C1" w14:textId="77777777" w:rsidR="005F4E94" w:rsidRPr="00C0275C" w:rsidRDefault="005F4E94" w:rsidP="005F4E94">
      <w:pPr>
        <w:pStyle w:val="BodyText"/>
        <w:rPr>
          <w:b/>
          <w:bCs/>
        </w:rPr>
      </w:pPr>
    </w:p>
    <w:p w14:paraId="48D6E5A5" w14:textId="77777777" w:rsidR="00427186" w:rsidRPr="00C0275C" w:rsidRDefault="00427186" w:rsidP="00427186">
      <w:pPr>
        <w:pStyle w:val="BodyText"/>
        <w:numPr>
          <w:ilvl w:val="0"/>
          <w:numId w:val="50"/>
        </w:numPr>
      </w:pPr>
      <w:r w:rsidRPr="00C0275C">
        <w:rPr>
          <w:b/>
          <w:bCs/>
        </w:rPr>
        <w:t>Use Section 27BV Powers Effectively:</w:t>
      </w:r>
      <w:r w:rsidRPr="00C0275C">
        <w:t xml:space="preserve"> Ensure that regulations made under Section 27BV ERB apply proportionately to agency work, recognising the unique nature of this segment of the labour market.</w:t>
      </w:r>
    </w:p>
    <w:p w14:paraId="7734CD52" w14:textId="77777777" w:rsidR="00427186" w:rsidRPr="00C0275C" w:rsidRDefault="00427186" w:rsidP="00427186">
      <w:pPr>
        <w:pStyle w:val="BodyText"/>
        <w:numPr>
          <w:ilvl w:val="0"/>
          <w:numId w:val="50"/>
        </w:numPr>
      </w:pPr>
      <w:r w:rsidRPr="00C0275C">
        <w:rPr>
          <w:b/>
          <w:bCs/>
        </w:rPr>
        <w:t>Maintain Flexibility and Choice:</w:t>
      </w:r>
      <w:r w:rsidRPr="00C0275C">
        <w:t xml:space="preserve"> Protect the ability of agency workers to choose flexible work arrangements, avoiding unnecessary rigidity that could undermine the temporary workforce.</w:t>
      </w:r>
    </w:p>
    <w:p w14:paraId="3FB5AF96" w14:textId="77777777" w:rsidR="00427186" w:rsidRPr="00C0275C" w:rsidRDefault="00427186" w:rsidP="00427186">
      <w:pPr>
        <w:pStyle w:val="BodyText"/>
        <w:numPr>
          <w:ilvl w:val="0"/>
          <w:numId w:val="50"/>
        </w:numPr>
      </w:pPr>
      <w:r w:rsidRPr="00C0275C">
        <w:rPr>
          <w:b/>
          <w:bCs/>
        </w:rPr>
        <w:t>Joint Responsibility for Cancellations and Changes:</w:t>
      </w:r>
      <w:r w:rsidRPr="00C0275C">
        <w:t xml:space="preserve"> Place a clear and enforceable obligation on hirers to share responsibility for cancellations and changes to assignments.</w:t>
      </w:r>
    </w:p>
    <w:p w14:paraId="381DDD71" w14:textId="77777777" w:rsidR="00427186" w:rsidRPr="00C0275C" w:rsidRDefault="00427186" w:rsidP="00427186">
      <w:pPr>
        <w:pStyle w:val="BodyText"/>
        <w:numPr>
          <w:ilvl w:val="0"/>
          <w:numId w:val="50"/>
        </w:numPr>
      </w:pPr>
      <w:r w:rsidRPr="00C0275C">
        <w:rPr>
          <w:b/>
          <w:bCs/>
        </w:rPr>
        <w:t>Strengthen Oversight of Umbrella Companies:</w:t>
      </w:r>
      <w:r w:rsidRPr="00C0275C">
        <w:t xml:space="preserve"> Ensure that the Fair Work Agency is properly equipped to enforce new regulations on umbrella companies effectively.</w:t>
      </w:r>
    </w:p>
    <w:p w14:paraId="5E35560B" w14:textId="068CFE6B" w:rsidR="00427186" w:rsidRDefault="00427186" w:rsidP="00427186">
      <w:pPr>
        <w:pStyle w:val="BodyText"/>
        <w:numPr>
          <w:ilvl w:val="0"/>
          <w:numId w:val="50"/>
        </w:numPr>
      </w:pPr>
      <w:r w:rsidRPr="00C0275C">
        <w:rPr>
          <w:b/>
          <w:bCs/>
        </w:rPr>
        <w:t>Prevent Unfair Burdens on Agencies for SSP:</w:t>
      </w:r>
      <w:r w:rsidRPr="00C0275C">
        <w:t xml:space="preserve"> Ensure that any changes to SSP do not disproportionately burden agencies, recognising the complexities of agency work.</w:t>
      </w:r>
    </w:p>
    <w:p w14:paraId="4FE84784" w14:textId="77777777" w:rsidR="00C0275C" w:rsidRPr="00C0275C" w:rsidRDefault="00C0275C" w:rsidP="00C0275C">
      <w:pPr>
        <w:pStyle w:val="BodyText"/>
        <w:ind w:left="720"/>
      </w:pPr>
    </w:p>
    <w:p w14:paraId="3F32CD92" w14:textId="77777777" w:rsidR="00427186" w:rsidRPr="00C0275C" w:rsidRDefault="00427186" w:rsidP="005F4E94">
      <w:pPr>
        <w:pStyle w:val="BodyText"/>
        <w:rPr>
          <w:b/>
          <w:bCs/>
        </w:rPr>
      </w:pPr>
      <w:r w:rsidRPr="00C0275C">
        <w:rPr>
          <w:b/>
          <w:bCs/>
        </w:rPr>
        <w:t>Conclusion</w:t>
      </w:r>
    </w:p>
    <w:p w14:paraId="135C9C3C" w14:textId="77777777" w:rsidR="005F4E94" w:rsidRPr="00C0275C" w:rsidRDefault="005F4E94" w:rsidP="005F4E94">
      <w:pPr>
        <w:pStyle w:val="BodyText"/>
        <w:rPr>
          <w:b/>
          <w:bCs/>
        </w:rPr>
      </w:pPr>
    </w:p>
    <w:p w14:paraId="1B053142" w14:textId="77777777" w:rsidR="00427186" w:rsidRPr="00C0275C" w:rsidRDefault="00427186" w:rsidP="00427186">
      <w:pPr>
        <w:pStyle w:val="BodyText"/>
      </w:pPr>
      <w:r w:rsidRPr="00C0275C">
        <w:t>The Employment Rights Bill presents a critical opportunity to enhance worker protections while maintaining the flexibility and dynamism of the UK labour market. However, the current approach risks creating unintended consequences for agency workers, hirers, and recruitment businesses. By making targeted amendments and using the powers available under Section 27BV ERB, the Government can strike the right balance between protection and flexibility, ensuring that the Bill supports both businesses and workers while safeguarding the UK’s economic resilience.</w:t>
      </w:r>
    </w:p>
    <w:p w14:paraId="313F74F0" w14:textId="62E260CB" w:rsidR="00427186" w:rsidRPr="00427186" w:rsidRDefault="00427186" w:rsidP="00427186">
      <w:pPr>
        <w:pStyle w:val="BodyText"/>
        <w:rPr>
          <w:sz w:val="22"/>
          <w:szCs w:val="22"/>
        </w:rPr>
      </w:pPr>
    </w:p>
    <w:p w14:paraId="39575124" w14:textId="40A21CF7" w:rsidR="00527771" w:rsidRPr="001E224F" w:rsidRDefault="00527771" w:rsidP="00901AD9">
      <w:pPr>
        <w:pStyle w:val="BodyText"/>
        <w:rPr>
          <w:sz w:val="22"/>
          <w:szCs w:val="22"/>
        </w:rPr>
      </w:pPr>
    </w:p>
    <w:sectPr w:rsidR="00527771" w:rsidRPr="001E224F" w:rsidSect="00213EE0">
      <w:headerReference w:type="default" r:id="rId13"/>
      <w:footerReference w:type="default" r:id="rId14"/>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3E2CC" w14:textId="77777777" w:rsidR="002A076B" w:rsidRDefault="002A076B" w:rsidP="008F24B5">
      <w:pPr>
        <w:spacing w:after="0" w:line="240" w:lineRule="auto"/>
      </w:pPr>
      <w:r>
        <w:separator/>
      </w:r>
    </w:p>
  </w:endnote>
  <w:endnote w:type="continuationSeparator" w:id="0">
    <w:p w14:paraId="57B2F3AD" w14:textId="77777777" w:rsidR="002A076B" w:rsidRDefault="002A076B"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2B75077F" w14:textId="77777777" w:rsidR="006A65D9" w:rsidRPr="00213EE0" w:rsidRDefault="006A65D9" w:rsidP="00213EE0">
        <w:pPr>
          <w:pStyle w:val="Footer"/>
          <w:pBdr>
            <w:top w:val="single" w:sz="4" w:space="1" w:color="0D133D" w:themeColor="text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14:paraId="43AD5227" w14:textId="77777777" w:rsidR="006A65D9" w:rsidRDefault="006A6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339B4" w14:textId="77777777" w:rsidR="002A076B" w:rsidRDefault="002A076B" w:rsidP="008F24B5">
      <w:pPr>
        <w:spacing w:after="0" w:line="240" w:lineRule="auto"/>
      </w:pPr>
      <w:r>
        <w:separator/>
      </w:r>
    </w:p>
  </w:footnote>
  <w:footnote w:type="continuationSeparator" w:id="0">
    <w:p w14:paraId="60CC21A8" w14:textId="77777777" w:rsidR="002A076B" w:rsidRDefault="002A076B"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5C65" w14:textId="77777777" w:rsidR="008F24B5" w:rsidRDefault="008F24B5">
    <w:pPr>
      <w:pStyle w:val="Header"/>
    </w:pPr>
    <w:r>
      <w:rPr>
        <w:noProof/>
      </w:rPr>
      <w:drawing>
        <wp:anchor distT="0" distB="0" distL="114300" distR="114300" simplePos="0" relativeHeight="251658240" behindDoc="0" locked="0" layoutInCell="1" allowOverlap="1" wp14:anchorId="130983F8" wp14:editId="6F188EA4">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5AA"/>
    <w:multiLevelType w:val="multilevel"/>
    <w:tmpl w:val="541E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3240D"/>
    <w:multiLevelType w:val="multilevel"/>
    <w:tmpl w:val="70BA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284BD4"/>
    <w:multiLevelType w:val="multilevel"/>
    <w:tmpl w:val="9F46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F7E33"/>
    <w:multiLevelType w:val="multilevel"/>
    <w:tmpl w:val="7D2E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A910661"/>
    <w:multiLevelType w:val="multilevel"/>
    <w:tmpl w:val="AA7E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D00EE5"/>
    <w:multiLevelType w:val="multilevel"/>
    <w:tmpl w:val="10E6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93C98"/>
    <w:multiLevelType w:val="multilevel"/>
    <w:tmpl w:val="BF10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A861C6"/>
    <w:multiLevelType w:val="multilevel"/>
    <w:tmpl w:val="59BA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C2A95"/>
    <w:multiLevelType w:val="multilevel"/>
    <w:tmpl w:val="9BC8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A754D2"/>
    <w:multiLevelType w:val="multilevel"/>
    <w:tmpl w:val="652CB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C33504"/>
    <w:multiLevelType w:val="multilevel"/>
    <w:tmpl w:val="2B2C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E53B0D"/>
    <w:multiLevelType w:val="multilevel"/>
    <w:tmpl w:val="1D48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C60077"/>
    <w:multiLevelType w:val="multilevel"/>
    <w:tmpl w:val="0BFC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0F3D8E"/>
    <w:multiLevelType w:val="multilevel"/>
    <w:tmpl w:val="7350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541CAF"/>
    <w:multiLevelType w:val="multilevel"/>
    <w:tmpl w:val="1E7A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1246A1"/>
    <w:multiLevelType w:val="multilevel"/>
    <w:tmpl w:val="C74C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ED10CD"/>
    <w:multiLevelType w:val="multilevel"/>
    <w:tmpl w:val="6E96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2D0381"/>
    <w:multiLevelType w:val="multilevel"/>
    <w:tmpl w:val="1B2C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AD49D2"/>
    <w:multiLevelType w:val="multilevel"/>
    <w:tmpl w:val="75F4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275F82"/>
    <w:multiLevelType w:val="multilevel"/>
    <w:tmpl w:val="B148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5479B7"/>
    <w:multiLevelType w:val="multilevel"/>
    <w:tmpl w:val="5FD6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AA5028"/>
    <w:multiLevelType w:val="multilevel"/>
    <w:tmpl w:val="8C6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7F5E30"/>
    <w:multiLevelType w:val="multilevel"/>
    <w:tmpl w:val="3FF0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342108"/>
    <w:multiLevelType w:val="multilevel"/>
    <w:tmpl w:val="E4E4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531E72"/>
    <w:multiLevelType w:val="multilevel"/>
    <w:tmpl w:val="836A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0627D2"/>
    <w:multiLevelType w:val="multilevel"/>
    <w:tmpl w:val="C00E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AE45C43"/>
    <w:multiLevelType w:val="multilevel"/>
    <w:tmpl w:val="9148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EA256D"/>
    <w:multiLevelType w:val="multilevel"/>
    <w:tmpl w:val="08E4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E569AC"/>
    <w:multiLevelType w:val="multilevel"/>
    <w:tmpl w:val="7810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EE1286"/>
    <w:multiLevelType w:val="multilevel"/>
    <w:tmpl w:val="9700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CB5A45"/>
    <w:multiLevelType w:val="multilevel"/>
    <w:tmpl w:val="A484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271E84"/>
    <w:multiLevelType w:val="multilevel"/>
    <w:tmpl w:val="A6E4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4C335F"/>
    <w:multiLevelType w:val="multilevel"/>
    <w:tmpl w:val="0782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9727E1"/>
    <w:multiLevelType w:val="multilevel"/>
    <w:tmpl w:val="52B0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8F2945"/>
    <w:multiLevelType w:val="multilevel"/>
    <w:tmpl w:val="489611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0B1EEF"/>
    <w:multiLevelType w:val="multilevel"/>
    <w:tmpl w:val="B76C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0E157A2"/>
    <w:multiLevelType w:val="multilevel"/>
    <w:tmpl w:val="7728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5C0306"/>
    <w:multiLevelType w:val="multilevel"/>
    <w:tmpl w:val="65FE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3546A1"/>
    <w:multiLevelType w:val="multilevel"/>
    <w:tmpl w:val="C56C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5D0BDA"/>
    <w:multiLevelType w:val="multilevel"/>
    <w:tmpl w:val="C482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7756EF"/>
    <w:multiLevelType w:val="multilevel"/>
    <w:tmpl w:val="C09A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E507D"/>
    <w:multiLevelType w:val="multilevel"/>
    <w:tmpl w:val="415C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1945DD"/>
    <w:multiLevelType w:val="multilevel"/>
    <w:tmpl w:val="D57C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6238AD"/>
    <w:multiLevelType w:val="multilevel"/>
    <w:tmpl w:val="F726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B253CD"/>
    <w:multiLevelType w:val="multilevel"/>
    <w:tmpl w:val="284E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123061"/>
    <w:multiLevelType w:val="multilevel"/>
    <w:tmpl w:val="74EC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79057">
    <w:abstractNumId w:val="5"/>
  </w:num>
  <w:num w:numId="2" w16cid:durableId="1753163457">
    <w:abstractNumId w:val="2"/>
  </w:num>
  <w:num w:numId="3" w16cid:durableId="1025714510">
    <w:abstractNumId w:val="28"/>
  </w:num>
  <w:num w:numId="4" w16cid:durableId="522011900">
    <w:abstractNumId w:val="39"/>
  </w:num>
  <w:num w:numId="5" w16cid:durableId="1057125917">
    <w:abstractNumId w:val="49"/>
  </w:num>
  <w:num w:numId="6" w16cid:durableId="1828787229">
    <w:abstractNumId w:val="10"/>
  </w:num>
  <w:num w:numId="7" w16cid:durableId="1195969552">
    <w:abstractNumId w:val="30"/>
  </w:num>
  <w:num w:numId="8" w16cid:durableId="920601202">
    <w:abstractNumId w:val="46"/>
  </w:num>
  <w:num w:numId="9" w16cid:durableId="193078681">
    <w:abstractNumId w:val="26"/>
  </w:num>
  <w:num w:numId="10" w16cid:durableId="1598632178">
    <w:abstractNumId w:val="14"/>
  </w:num>
  <w:num w:numId="11" w16cid:durableId="385765148">
    <w:abstractNumId w:val="38"/>
  </w:num>
  <w:num w:numId="12" w16cid:durableId="1361707668">
    <w:abstractNumId w:val="18"/>
  </w:num>
  <w:num w:numId="13" w16cid:durableId="601256911">
    <w:abstractNumId w:val="3"/>
  </w:num>
  <w:num w:numId="14" w16cid:durableId="1033189852">
    <w:abstractNumId w:val="19"/>
  </w:num>
  <w:num w:numId="15" w16cid:durableId="96564145">
    <w:abstractNumId w:val="40"/>
  </w:num>
  <w:num w:numId="16" w16cid:durableId="371273886">
    <w:abstractNumId w:val="8"/>
  </w:num>
  <w:num w:numId="17" w16cid:durableId="933647">
    <w:abstractNumId w:val="31"/>
  </w:num>
  <w:num w:numId="18" w16cid:durableId="457263166">
    <w:abstractNumId w:val="42"/>
  </w:num>
  <w:num w:numId="19" w16cid:durableId="1139760595">
    <w:abstractNumId w:val="24"/>
  </w:num>
  <w:num w:numId="20" w16cid:durableId="730271284">
    <w:abstractNumId w:val="7"/>
  </w:num>
  <w:num w:numId="21" w16cid:durableId="1071150077">
    <w:abstractNumId w:val="6"/>
  </w:num>
  <w:num w:numId="22" w16cid:durableId="1793940715">
    <w:abstractNumId w:val="45"/>
  </w:num>
  <w:num w:numId="23" w16cid:durableId="963660296">
    <w:abstractNumId w:val="43"/>
  </w:num>
  <w:num w:numId="24" w16cid:durableId="1616910704">
    <w:abstractNumId w:val="34"/>
  </w:num>
  <w:num w:numId="25" w16cid:durableId="1185707901">
    <w:abstractNumId w:val="15"/>
  </w:num>
  <w:num w:numId="26" w16cid:durableId="160851679">
    <w:abstractNumId w:val="27"/>
  </w:num>
  <w:num w:numId="27" w16cid:durableId="2026789810">
    <w:abstractNumId w:val="32"/>
  </w:num>
  <w:num w:numId="28" w16cid:durableId="1212840193">
    <w:abstractNumId w:val="4"/>
  </w:num>
  <w:num w:numId="29" w16cid:durableId="532377135">
    <w:abstractNumId w:val="41"/>
  </w:num>
  <w:num w:numId="30" w16cid:durableId="905729285">
    <w:abstractNumId w:val="33"/>
  </w:num>
  <w:num w:numId="31" w16cid:durableId="131601056">
    <w:abstractNumId w:val="36"/>
  </w:num>
  <w:num w:numId="32" w16cid:durableId="694888822">
    <w:abstractNumId w:val="23"/>
  </w:num>
  <w:num w:numId="33" w16cid:durableId="550844026">
    <w:abstractNumId w:val="25"/>
  </w:num>
  <w:num w:numId="34" w16cid:durableId="1792477410">
    <w:abstractNumId w:val="11"/>
  </w:num>
  <w:num w:numId="35" w16cid:durableId="1931497934">
    <w:abstractNumId w:val="37"/>
  </w:num>
  <w:num w:numId="36" w16cid:durableId="1514371620">
    <w:abstractNumId w:val="29"/>
  </w:num>
  <w:num w:numId="37" w16cid:durableId="1176075968">
    <w:abstractNumId w:val="16"/>
  </w:num>
  <w:num w:numId="38" w16cid:durableId="819686921">
    <w:abstractNumId w:val="44"/>
  </w:num>
  <w:num w:numId="39" w16cid:durableId="784495659">
    <w:abstractNumId w:val="20"/>
  </w:num>
  <w:num w:numId="40" w16cid:durableId="1782341584">
    <w:abstractNumId w:val="35"/>
  </w:num>
  <w:num w:numId="41" w16cid:durableId="880750631">
    <w:abstractNumId w:val="0"/>
  </w:num>
  <w:num w:numId="42" w16cid:durableId="496574379">
    <w:abstractNumId w:val="1"/>
  </w:num>
  <w:num w:numId="43" w16cid:durableId="1620408434">
    <w:abstractNumId w:val="22"/>
  </w:num>
  <w:num w:numId="44" w16cid:durableId="629163673">
    <w:abstractNumId w:val="47"/>
  </w:num>
  <w:num w:numId="45" w16cid:durableId="478427780">
    <w:abstractNumId w:val="13"/>
  </w:num>
  <w:num w:numId="46" w16cid:durableId="1900627988">
    <w:abstractNumId w:val="21"/>
  </w:num>
  <w:num w:numId="47" w16cid:durableId="1654142132">
    <w:abstractNumId w:val="48"/>
  </w:num>
  <w:num w:numId="48" w16cid:durableId="549388881">
    <w:abstractNumId w:val="12"/>
  </w:num>
  <w:num w:numId="49" w16cid:durableId="1865678904">
    <w:abstractNumId w:val="9"/>
  </w:num>
  <w:num w:numId="50" w16cid:durableId="15471362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D9"/>
    <w:rsid w:val="00005581"/>
    <w:rsid w:val="00037C84"/>
    <w:rsid w:val="00040416"/>
    <w:rsid w:val="0005595E"/>
    <w:rsid w:val="000834C5"/>
    <w:rsid w:val="001E224F"/>
    <w:rsid w:val="00207C52"/>
    <w:rsid w:val="00213EE0"/>
    <w:rsid w:val="002241C5"/>
    <w:rsid w:val="00261086"/>
    <w:rsid w:val="002A076B"/>
    <w:rsid w:val="002A0DA9"/>
    <w:rsid w:val="002A266A"/>
    <w:rsid w:val="002D33EA"/>
    <w:rsid w:val="002E2AB6"/>
    <w:rsid w:val="00333A85"/>
    <w:rsid w:val="00376557"/>
    <w:rsid w:val="003C2212"/>
    <w:rsid w:val="003D0A7B"/>
    <w:rsid w:val="00427186"/>
    <w:rsid w:val="004A2992"/>
    <w:rsid w:val="004C7733"/>
    <w:rsid w:val="00527771"/>
    <w:rsid w:val="005902C4"/>
    <w:rsid w:val="005B39B2"/>
    <w:rsid w:val="005F4E94"/>
    <w:rsid w:val="006A65D9"/>
    <w:rsid w:val="006E0610"/>
    <w:rsid w:val="00751F21"/>
    <w:rsid w:val="007E2784"/>
    <w:rsid w:val="008156A6"/>
    <w:rsid w:val="008B255B"/>
    <w:rsid w:val="008C44A3"/>
    <w:rsid w:val="008F24B5"/>
    <w:rsid w:val="00901AD9"/>
    <w:rsid w:val="00912E8A"/>
    <w:rsid w:val="00931F5E"/>
    <w:rsid w:val="00960976"/>
    <w:rsid w:val="009E5046"/>
    <w:rsid w:val="009E5BCD"/>
    <w:rsid w:val="00A82B2C"/>
    <w:rsid w:val="00AA6C3C"/>
    <w:rsid w:val="00C0275C"/>
    <w:rsid w:val="00C1431E"/>
    <w:rsid w:val="00C66570"/>
    <w:rsid w:val="00CB19E4"/>
    <w:rsid w:val="00CC1252"/>
    <w:rsid w:val="00CE227F"/>
    <w:rsid w:val="00DE5A4E"/>
    <w:rsid w:val="00DF4BE5"/>
    <w:rsid w:val="00E21FD3"/>
    <w:rsid w:val="00E414DB"/>
    <w:rsid w:val="00E4294B"/>
    <w:rsid w:val="00E8410F"/>
    <w:rsid w:val="00EE4886"/>
    <w:rsid w:val="00F15943"/>
    <w:rsid w:val="00F20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DCF9B"/>
  <w15:chartTrackingRefBased/>
  <w15:docId w15:val="{DF53476C-8DD4-42FC-819D-C3EFD69D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E4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7531">
      <w:bodyDiv w:val="1"/>
      <w:marLeft w:val="0"/>
      <w:marRight w:val="0"/>
      <w:marTop w:val="0"/>
      <w:marBottom w:val="0"/>
      <w:divBdr>
        <w:top w:val="none" w:sz="0" w:space="0" w:color="auto"/>
        <w:left w:val="none" w:sz="0" w:space="0" w:color="auto"/>
        <w:bottom w:val="none" w:sz="0" w:space="0" w:color="auto"/>
        <w:right w:val="none" w:sz="0" w:space="0" w:color="auto"/>
      </w:divBdr>
    </w:div>
    <w:div w:id="647053075">
      <w:bodyDiv w:val="1"/>
      <w:marLeft w:val="0"/>
      <w:marRight w:val="0"/>
      <w:marTop w:val="0"/>
      <w:marBottom w:val="0"/>
      <w:divBdr>
        <w:top w:val="none" w:sz="0" w:space="0" w:color="auto"/>
        <w:left w:val="none" w:sz="0" w:space="0" w:color="auto"/>
        <w:bottom w:val="none" w:sz="0" w:space="0" w:color="auto"/>
        <w:right w:val="none" w:sz="0" w:space="0" w:color="auto"/>
      </w:divBdr>
    </w:div>
    <w:div w:id="928082864">
      <w:bodyDiv w:val="1"/>
      <w:marLeft w:val="0"/>
      <w:marRight w:val="0"/>
      <w:marTop w:val="0"/>
      <w:marBottom w:val="0"/>
      <w:divBdr>
        <w:top w:val="none" w:sz="0" w:space="0" w:color="auto"/>
        <w:left w:val="none" w:sz="0" w:space="0" w:color="auto"/>
        <w:bottom w:val="none" w:sz="0" w:space="0" w:color="auto"/>
        <w:right w:val="none" w:sz="0" w:space="0" w:color="auto"/>
      </w:divBdr>
    </w:div>
    <w:div w:id="951011884">
      <w:bodyDiv w:val="1"/>
      <w:marLeft w:val="0"/>
      <w:marRight w:val="0"/>
      <w:marTop w:val="0"/>
      <w:marBottom w:val="0"/>
      <w:divBdr>
        <w:top w:val="none" w:sz="0" w:space="0" w:color="auto"/>
        <w:left w:val="none" w:sz="0" w:space="0" w:color="auto"/>
        <w:bottom w:val="none" w:sz="0" w:space="0" w:color="auto"/>
        <w:right w:val="none" w:sz="0" w:space="0" w:color="auto"/>
      </w:divBdr>
    </w:div>
    <w:div w:id="1348602539">
      <w:bodyDiv w:val="1"/>
      <w:marLeft w:val="0"/>
      <w:marRight w:val="0"/>
      <w:marTop w:val="0"/>
      <w:marBottom w:val="0"/>
      <w:divBdr>
        <w:top w:val="none" w:sz="0" w:space="0" w:color="auto"/>
        <w:left w:val="none" w:sz="0" w:space="0" w:color="auto"/>
        <w:bottom w:val="none" w:sz="0" w:space="0" w:color="auto"/>
        <w:right w:val="none" w:sz="0" w:space="0" w:color="auto"/>
      </w:divBdr>
      <w:divsChild>
        <w:div w:id="1256087410">
          <w:marLeft w:val="0"/>
          <w:marRight w:val="0"/>
          <w:marTop w:val="0"/>
          <w:marBottom w:val="0"/>
          <w:divBdr>
            <w:top w:val="none" w:sz="0" w:space="0" w:color="auto"/>
            <w:left w:val="none" w:sz="0" w:space="0" w:color="auto"/>
            <w:bottom w:val="none" w:sz="0" w:space="0" w:color="auto"/>
            <w:right w:val="none" w:sz="0" w:space="0" w:color="auto"/>
          </w:divBdr>
          <w:divsChild>
            <w:div w:id="1162044034">
              <w:marLeft w:val="0"/>
              <w:marRight w:val="0"/>
              <w:marTop w:val="0"/>
              <w:marBottom w:val="0"/>
              <w:divBdr>
                <w:top w:val="none" w:sz="0" w:space="0" w:color="auto"/>
                <w:left w:val="none" w:sz="0" w:space="0" w:color="auto"/>
                <w:bottom w:val="none" w:sz="0" w:space="0" w:color="auto"/>
                <w:right w:val="none" w:sz="0" w:space="0" w:color="auto"/>
              </w:divBdr>
              <w:divsChild>
                <w:div w:id="1788036763">
                  <w:marLeft w:val="0"/>
                  <w:marRight w:val="0"/>
                  <w:marTop w:val="0"/>
                  <w:marBottom w:val="0"/>
                  <w:divBdr>
                    <w:top w:val="none" w:sz="0" w:space="0" w:color="auto"/>
                    <w:left w:val="none" w:sz="0" w:space="0" w:color="auto"/>
                    <w:bottom w:val="none" w:sz="0" w:space="0" w:color="auto"/>
                    <w:right w:val="none" w:sz="0" w:space="0" w:color="auto"/>
                  </w:divBdr>
                  <w:divsChild>
                    <w:div w:id="110418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864796">
          <w:marLeft w:val="0"/>
          <w:marRight w:val="0"/>
          <w:marTop w:val="0"/>
          <w:marBottom w:val="0"/>
          <w:divBdr>
            <w:top w:val="none" w:sz="0" w:space="0" w:color="auto"/>
            <w:left w:val="none" w:sz="0" w:space="0" w:color="auto"/>
            <w:bottom w:val="none" w:sz="0" w:space="0" w:color="auto"/>
            <w:right w:val="none" w:sz="0" w:space="0" w:color="auto"/>
          </w:divBdr>
          <w:divsChild>
            <w:div w:id="1841389580">
              <w:marLeft w:val="0"/>
              <w:marRight w:val="0"/>
              <w:marTop w:val="0"/>
              <w:marBottom w:val="0"/>
              <w:divBdr>
                <w:top w:val="none" w:sz="0" w:space="0" w:color="auto"/>
                <w:left w:val="none" w:sz="0" w:space="0" w:color="auto"/>
                <w:bottom w:val="none" w:sz="0" w:space="0" w:color="auto"/>
                <w:right w:val="none" w:sz="0" w:space="0" w:color="auto"/>
              </w:divBdr>
              <w:divsChild>
                <w:div w:id="852300861">
                  <w:marLeft w:val="0"/>
                  <w:marRight w:val="0"/>
                  <w:marTop w:val="0"/>
                  <w:marBottom w:val="0"/>
                  <w:divBdr>
                    <w:top w:val="none" w:sz="0" w:space="0" w:color="auto"/>
                    <w:left w:val="none" w:sz="0" w:space="0" w:color="auto"/>
                    <w:bottom w:val="none" w:sz="0" w:space="0" w:color="auto"/>
                    <w:right w:val="none" w:sz="0" w:space="0" w:color="auto"/>
                  </w:divBdr>
                  <w:divsChild>
                    <w:div w:id="802234248">
                      <w:marLeft w:val="0"/>
                      <w:marRight w:val="0"/>
                      <w:marTop w:val="0"/>
                      <w:marBottom w:val="0"/>
                      <w:divBdr>
                        <w:top w:val="none" w:sz="0" w:space="0" w:color="auto"/>
                        <w:left w:val="none" w:sz="0" w:space="0" w:color="auto"/>
                        <w:bottom w:val="none" w:sz="0" w:space="0" w:color="auto"/>
                        <w:right w:val="none" w:sz="0" w:space="0" w:color="auto"/>
                      </w:divBdr>
                      <w:divsChild>
                        <w:div w:id="7343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431452">
      <w:bodyDiv w:val="1"/>
      <w:marLeft w:val="0"/>
      <w:marRight w:val="0"/>
      <w:marTop w:val="0"/>
      <w:marBottom w:val="0"/>
      <w:divBdr>
        <w:top w:val="none" w:sz="0" w:space="0" w:color="auto"/>
        <w:left w:val="none" w:sz="0" w:space="0" w:color="auto"/>
        <w:bottom w:val="none" w:sz="0" w:space="0" w:color="auto"/>
        <w:right w:val="none" w:sz="0" w:space="0" w:color="auto"/>
      </w:divBdr>
    </w:div>
    <w:div w:id="1386179626">
      <w:bodyDiv w:val="1"/>
      <w:marLeft w:val="0"/>
      <w:marRight w:val="0"/>
      <w:marTop w:val="0"/>
      <w:marBottom w:val="0"/>
      <w:divBdr>
        <w:top w:val="none" w:sz="0" w:space="0" w:color="auto"/>
        <w:left w:val="none" w:sz="0" w:space="0" w:color="auto"/>
        <w:bottom w:val="none" w:sz="0" w:space="0" w:color="auto"/>
        <w:right w:val="none" w:sz="0" w:space="0" w:color="auto"/>
      </w:divBdr>
      <w:divsChild>
        <w:div w:id="1240627975">
          <w:marLeft w:val="0"/>
          <w:marRight w:val="0"/>
          <w:marTop w:val="0"/>
          <w:marBottom w:val="0"/>
          <w:divBdr>
            <w:top w:val="none" w:sz="0" w:space="0" w:color="auto"/>
            <w:left w:val="none" w:sz="0" w:space="0" w:color="auto"/>
            <w:bottom w:val="none" w:sz="0" w:space="0" w:color="auto"/>
            <w:right w:val="none" w:sz="0" w:space="0" w:color="auto"/>
          </w:divBdr>
          <w:divsChild>
            <w:div w:id="976179234">
              <w:marLeft w:val="0"/>
              <w:marRight w:val="0"/>
              <w:marTop w:val="0"/>
              <w:marBottom w:val="0"/>
              <w:divBdr>
                <w:top w:val="none" w:sz="0" w:space="0" w:color="auto"/>
                <w:left w:val="none" w:sz="0" w:space="0" w:color="auto"/>
                <w:bottom w:val="none" w:sz="0" w:space="0" w:color="auto"/>
                <w:right w:val="none" w:sz="0" w:space="0" w:color="auto"/>
              </w:divBdr>
              <w:divsChild>
                <w:div w:id="1375470650">
                  <w:marLeft w:val="0"/>
                  <w:marRight w:val="0"/>
                  <w:marTop w:val="0"/>
                  <w:marBottom w:val="0"/>
                  <w:divBdr>
                    <w:top w:val="none" w:sz="0" w:space="0" w:color="auto"/>
                    <w:left w:val="none" w:sz="0" w:space="0" w:color="auto"/>
                    <w:bottom w:val="none" w:sz="0" w:space="0" w:color="auto"/>
                    <w:right w:val="none" w:sz="0" w:space="0" w:color="auto"/>
                  </w:divBdr>
                  <w:divsChild>
                    <w:div w:id="26608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827663">
          <w:marLeft w:val="0"/>
          <w:marRight w:val="0"/>
          <w:marTop w:val="0"/>
          <w:marBottom w:val="0"/>
          <w:divBdr>
            <w:top w:val="none" w:sz="0" w:space="0" w:color="auto"/>
            <w:left w:val="none" w:sz="0" w:space="0" w:color="auto"/>
            <w:bottom w:val="none" w:sz="0" w:space="0" w:color="auto"/>
            <w:right w:val="none" w:sz="0" w:space="0" w:color="auto"/>
          </w:divBdr>
          <w:divsChild>
            <w:div w:id="87236612">
              <w:marLeft w:val="0"/>
              <w:marRight w:val="0"/>
              <w:marTop w:val="0"/>
              <w:marBottom w:val="0"/>
              <w:divBdr>
                <w:top w:val="none" w:sz="0" w:space="0" w:color="auto"/>
                <w:left w:val="none" w:sz="0" w:space="0" w:color="auto"/>
                <w:bottom w:val="none" w:sz="0" w:space="0" w:color="auto"/>
                <w:right w:val="none" w:sz="0" w:space="0" w:color="auto"/>
              </w:divBdr>
              <w:divsChild>
                <w:div w:id="228928291">
                  <w:marLeft w:val="0"/>
                  <w:marRight w:val="0"/>
                  <w:marTop w:val="0"/>
                  <w:marBottom w:val="0"/>
                  <w:divBdr>
                    <w:top w:val="none" w:sz="0" w:space="0" w:color="auto"/>
                    <w:left w:val="none" w:sz="0" w:space="0" w:color="auto"/>
                    <w:bottom w:val="none" w:sz="0" w:space="0" w:color="auto"/>
                    <w:right w:val="none" w:sz="0" w:space="0" w:color="auto"/>
                  </w:divBdr>
                  <w:divsChild>
                    <w:div w:id="538123787">
                      <w:marLeft w:val="0"/>
                      <w:marRight w:val="0"/>
                      <w:marTop w:val="0"/>
                      <w:marBottom w:val="0"/>
                      <w:divBdr>
                        <w:top w:val="none" w:sz="0" w:space="0" w:color="auto"/>
                        <w:left w:val="none" w:sz="0" w:space="0" w:color="auto"/>
                        <w:bottom w:val="none" w:sz="0" w:space="0" w:color="auto"/>
                        <w:right w:val="none" w:sz="0" w:space="0" w:color="auto"/>
                      </w:divBdr>
                      <w:divsChild>
                        <w:div w:id="17153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671291">
      <w:bodyDiv w:val="1"/>
      <w:marLeft w:val="0"/>
      <w:marRight w:val="0"/>
      <w:marTop w:val="0"/>
      <w:marBottom w:val="0"/>
      <w:divBdr>
        <w:top w:val="none" w:sz="0" w:space="0" w:color="auto"/>
        <w:left w:val="none" w:sz="0" w:space="0" w:color="auto"/>
        <w:bottom w:val="none" w:sz="0" w:space="0" w:color="auto"/>
        <w:right w:val="none" w:sz="0" w:space="0" w:color="auto"/>
      </w:divBdr>
    </w:div>
    <w:div w:id="1818720332">
      <w:bodyDiv w:val="1"/>
      <w:marLeft w:val="0"/>
      <w:marRight w:val="0"/>
      <w:marTop w:val="0"/>
      <w:marBottom w:val="0"/>
      <w:divBdr>
        <w:top w:val="none" w:sz="0" w:space="0" w:color="auto"/>
        <w:left w:val="none" w:sz="0" w:space="0" w:color="auto"/>
        <w:bottom w:val="none" w:sz="0" w:space="0" w:color="auto"/>
        <w:right w:val="none" w:sz="0" w:space="0" w:color="auto"/>
      </w:divBdr>
    </w:div>
    <w:div w:id="208460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c.uk.com/about-the-re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lls.parliament.uk/bills/373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REC\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94F3560A61734B9976D7370E6C3C53" ma:contentTypeVersion="4" ma:contentTypeDescription="Create a new document." ma:contentTypeScope="" ma:versionID="bf76bfaf52001989d709cb17cef99607">
  <xsd:schema xmlns:xsd="http://www.w3.org/2001/XMLSchema" xmlns:xs="http://www.w3.org/2001/XMLSchema" xmlns:p="http://schemas.microsoft.com/office/2006/metadata/properties" xmlns:ns2="314f963b-6d0b-4803-b4cc-1344062b3eee" targetNamespace="http://schemas.microsoft.com/office/2006/metadata/properties" ma:root="true" ma:fieldsID="8b322d76f6c3d6b59394d64b79ae7475" ns2:_="">
    <xsd:import namespace="314f963b-6d0b-4803-b4cc-1344062b3e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f963b-6d0b-4803-b4cc-1344062b3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A5B6F-50E0-4D9B-8B7B-51F83D13E29F}">
  <ds:schemaRefs>
    <ds:schemaRef ds:uri="http://schemas.openxmlformats.org/officeDocument/2006/bibliography"/>
  </ds:schemaRefs>
</ds:datastoreItem>
</file>

<file path=customXml/itemProps2.xml><?xml version="1.0" encoding="utf-8"?>
<ds:datastoreItem xmlns:ds="http://schemas.openxmlformats.org/officeDocument/2006/customXml" ds:itemID="{32FD21C7-AA78-41BC-ADC6-A7825B8B2F0A}">
  <ds:schemaRefs>
    <ds:schemaRef ds:uri="http://schemas.microsoft.com/sharepoint/v3/contenttype/forms"/>
  </ds:schemaRefs>
</ds:datastoreItem>
</file>

<file path=customXml/itemProps3.xml><?xml version="1.0" encoding="utf-8"?>
<ds:datastoreItem xmlns:ds="http://schemas.openxmlformats.org/officeDocument/2006/customXml" ds:itemID="{19D0E37A-F26E-4DF1-AFD0-2DDAAD18CB7B}">
  <ds:schemaRefs>
    <ds:schemaRef ds:uri="314f963b-6d0b-4803-b4cc-1344062b3eee"/>
    <ds:schemaRef ds:uri="http://purl.org/dc/terms/"/>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D0268F45-BDB6-4203-889E-A17675873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f963b-6d0b-4803-b4cc-1344062b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81</TotalTime>
  <Pages>3</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Whitbread</dc:creator>
  <cp:keywords/>
  <dc:description/>
  <cp:lastModifiedBy>Patrick Milnes</cp:lastModifiedBy>
  <cp:revision>31</cp:revision>
  <dcterms:created xsi:type="dcterms:W3CDTF">2025-03-21T16:44:00Z</dcterms:created>
  <dcterms:modified xsi:type="dcterms:W3CDTF">2025-05-06T09:54:00Z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0x0101004294F3560A61734B9976D7370E6C3C53</vt:lpwstr>
  </property>
</Properties>
</file>