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DEE7" w14:textId="55352BDD" w:rsidR="002241C5" w:rsidRPr="00580FA7" w:rsidRDefault="00565287" w:rsidP="00FE1620">
      <w:pPr>
        <w:pStyle w:val="Title"/>
        <w:jc w:val="left"/>
      </w:pPr>
      <w:r>
        <w:t xml:space="preserve"> </w:t>
      </w:r>
      <w:r w:rsidR="00580FA7" w:rsidRPr="00580FA7">
        <w:t>C</w:t>
      </w:r>
      <w:r w:rsidR="00704C12">
        <w:t xml:space="preserve">ontract </w:t>
      </w:r>
      <w:r w:rsidR="00936C78">
        <w:t>3</w:t>
      </w:r>
      <w:r w:rsidR="008C30F6">
        <w:t>B</w:t>
      </w:r>
    </w:p>
    <w:p w14:paraId="4329E88F" w14:textId="4AA6A056" w:rsidR="00037C84" w:rsidRDefault="00704C12" w:rsidP="00FE1620">
      <w:pPr>
        <w:pStyle w:val="IntroductionTitle"/>
        <w:spacing w:before="600"/>
      </w:pPr>
      <w:bookmarkStart w:id="0" w:name="_Hlk25600892"/>
      <w:r>
        <w:t xml:space="preserve">Terms of business with a client for the supply of temporary workers (Combined terms) </w:t>
      </w:r>
      <w:r w:rsidR="00F4108A">
        <w:t>- client is exempt from the off-payroll rules</w:t>
      </w:r>
    </w:p>
    <w:p w14:paraId="4D18A577" w14:textId="09AFBABB" w:rsidR="00671936" w:rsidRPr="00B2649F" w:rsidRDefault="004B48EC" w:rsidP="00FE1620">
      <w:pPr>
        <w:pStyle w:val="IntroductionParagraph"/>
        <w:pBdr>
          <w:top w:val="single" w:sz="4" w:space="1" w:color="auto"/>
          <w:left w:val="single" w:sz="4" w:space="4" w:color="auto"/>
          <w:bottom w:val="single" w:sz="4" w:space="1" w:color="auto"/>
          <w:right w:val="single" w:sz="4" w:space="4" w:color="auto"/>
        </w:pBdr>
        <w:spacing w:after="0" w:line="240" w:lineRule="auto"/>
        <w:ind w:left="0"/>
        <w:rPr>
          <w:rFonts w:cs="Arial"/>
          <w:bCs/>
          <w:color w:val="0D133D"/>
          <w:sz w:val="20"/>
          <w:szCs w:val="20"/>
          <w:lang w:val="en-GB"/>
          <w14:ligatures w14:val="none"/>
        </w:rPr>
      </w:pPr>
      <w:r>
        <w:rPr>
          <w:rFonts w:cs="Arial"/>
          <w:bCs/>
          <w:color w:val="0D133D"/>
          <w:sz w:val="20"/>
          <w:szCs w:val="20"/>
          <w:lang w:val="en-GB"/>
          <w14:ligatures w14:val="none"/>
        </w:rPr>
        <w:t>V</w:t>
      </w:r>
      <w:r w:rsidR="00724687">
        <w:rPr>
          <w:rFonts w:cs="Arial"/>
          <w:bCs/>
          <w:color w:val="0D133D"/>
          <w:sz w:val="20"/>
          <w:szCs w:val="20"/>
          <w:lang w:val="en-GB"/>
          <w14:ligatures w14:val="none"/>
        </w:rPr>
        <w:t>5</w:t>
      </w:r>
      <w:r>
        <w:rPr>
          <w:rFonts w:cs="Arial"/>
          <w:bCs/>
          <w:color w:val="0D133D"/>
          <w:sz w:val="20"/>
          <w:szCs w:val="20"/>
          <w:lang w:val="en-GB"/>
          <w14:ligatures w14:val="none"/>
        </w:rPr>
        <w:t xml:space="preserve"> </w:t>
      </w:r>
      <w:r w:rsidR="00725576">
        <w:rPr>
          <w:rFonts w:cs="Arial"/>
          <w:bCs/>
          <w:color w:val="0D133D"/>
          <w:sz w:val="20"/>
          <w:szCs w:val="20"/>
          <w:lang w:val="en-GB"/>
          <w14:ligatures w14:val="none"/>
        </w:rPr>
        <w:t>March</w:t>
      </w:r>
      <w:r>
        <w:rPr>
          <w:rFonts w:cs="Arial"/>
          <w:bCs/>
          <w:color w:val="0D133D"/>
          <w:sz w:val="20"/>
          <w:szCs w:val="20"/>
          <w:lang w:val="en-GB"/>
          <w14:ligatures w14:val="none"/>
        </w:rPr>
        <w:t xml:space="preserve"> 20</w:t>
      </w:r>
      <w:r w:rsidR="0077390D">
        <w:rPr>
          <w:rFonts w:cs="Arial"/>
          <w:bCs/>
          <w:color w:val="0D133D"/>
          <w:sz w:val="20"/>
          <w:szCs w:val="20"/>
          <w:lang w:val="en-GB"/>
          <w14:ligatures w14:val="none"/>
        </w:rPr>
        <w:t>25</w:t>
      </w:r>
    </w:p>
    <w:p w14:paraId="18F4C559" w14:textId="77777777" w:rsidR="00671936" w:rsidRPr="00B2649F" w:rsidRDefault="00671936" w:rsidP="00FE1620">
      <w:pPr>
        <w:pStyle w:val="IntroductionParagraph"/>
        <w:pBdr>
          <w:top w:val="single" w:sz="4" w:space="1" w:color="auto"/>
          <w:left w:val="single" w:sz="4" w:space="4" w:color="auto"/>
          <w:bottom w:val="single" w:sz="4" w:space="1" w:color="auto"/>
          <w:right w:val="single" w:sz="4" w:space="4" w:color="auto"/>
        </w:pBdr>
        <w:spacing w:after="0" w:line="240" w:lineRule="auto"/>
        <w:ind w:left="0"/>
        <w:rPr>
          <w:rFonts w:cs="Arial"/>
          <w:bCs/>
          <w:color w:val="0D133D"/>
          <w:sz w:val="20"/>
          <w:szCs w:val="20"/>
          <w:lang w:val="en-GB"/>
          <w14:ligatures w14:val="none"/>
        </w:rPr>
      </w:pPr>
    </w:p>
    <w:p w14:paraId="1769CCFE" w14:textId="6E31AC85" w:rsidR="00592AB7" w:rsidRDefault="00671936" w:rsidP="00FE1620">
      <w:pPr>
        <w:pStyle w:val="IntroductionParagraph"/>
        <w:pBdr>
          <w:top w:val="single" w:sz="4" w:space="1" w:color="auto"/>
          <w:left w:val="single" w:sz="4" w:space="4" w:color="auto"/>
          <w:bottom w:val="single" w:sz="4" w:space="1" w:color="auto"/>
          <w:right w:val="single" w:sz="4" w:space="4" w:color="auto"/>
        </w:pBdr>
        <w:spacing w:after="0" w:line="240" w:lineRule="auto"/>
        <w:ind w:left="0"/>
        <w:rPr>
          <w:rFonts w:cs="Arial"/>
          <w:bCs/>
          <w:color w:val="0D133D"/>
          <w:sz w:val="20"/>
          <w:szCs w:val="20"/>
          <w:lang w:val="en-GB"/>
          <w14:ligatures w14:val="none"/>
        </w:rPr>
      </w:pPr>
      <w:r w:rsidRPr="00B2649F">
        <w:rPr>
          <w:rFonts w:cs="Arial"/>
          <w:bCs/>
          <w:color w:val="0D133D"/>
          <w:sz w:val="20"/>
          <w:szCs w:val="20"/>
          <w:lang w:val="en-GB"/>
          <w14:ligatures w14:val="none"/>
        </w:rPr>
        <w:t xml:space="preserve">Introductory notes </w:t>
      </w:r>
      <w:r w:rsidR="00A524BF" w:rsidRPr="00B2649F">
        <w:rPr>
          <w:rFonts w:cs="Arial"/>
          <w:bCs/>
          <w:color w:val="0D133D"/>
          <w:sz w:val="20"/>
          <w:szCs w:val="20"/>
          <w:lang w:val="en-GB"/>
          <w14:ligatures w14:val="none"/>
        </w:rPr>
        <w:tab/>
      </w:r>
      <w:r w:rsidR="00A524BF" w:rsidRPr="00B2649F">
        <w:rPr>
          <w:rFonts w:cs="Arial"/>
          <w:bCs/>
          <w:color w:val="0D133D"/>
          <w:sz w:val="20"/>
          <w:szCs w:val="20"/>
          <w:lang w:val="en-GB"/>
          <w14:ligatures w14:val="none"/>
        </w:rPr>
        <w:tab/>
      </w:r>
      <w:r w:rsidR="00A524BF" w:rsidRPr="00B2649F">
        <w:rPr>
          <w:rFonts w:cs="Arial"/>
          <w:bCs/>
          <w:color w:val="0D133D"/>
          <w:sz w:val="20"/>
          <w:szCs w:val="20"/>
          <w:lang w:val="en-GB"/>
          <w14:ligatures w14:val="none"/>
        </w:rPr>
        <w:tab/>
      </w:r>
      <w:r w:rsidR="00A524BF"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Pr="00B2649F">
        <w:rPr>
          <w:rFonts w:cs="Arial"/>
          <w:bCs/>
          <w:color w:val="0D133D"/>
          <w:sz w:val="20"/>
          <w:szCs w:val="20"/>
          <w:lang w:val="en-GB"/>
          <w14:ligatures w14:val="none"/>
        </w:rPr>
        <w:t>p</w:t>
      </w:r>
      <w:r w:rsidR="0035777D">
        <w:rPr>
          <w:rFonts w:cs="Arial"/>
          <w:bCs/>
          <w:color w:val="0D133D"/>
          <w:sz w:val="20"/>
          <w:szCs w:val="20"/>
          <w:lang w:val="en-GB"/>
          <w14:ligatures w14:val="none"/>
        </w:rPr>
        <w:t xml:space="preserve">age </w:t>
      </w:r>
      <w:r w:rsidRPr="00B2649F">
        <w:rPr>
          <w:rFonts w:cs="Arial"/>
          <w:bCs/>
          <w:color w:val="0D133D"/>
          <w:sz w:val="20"/>
          <w:szCs w:val="20"/>
          <w:lang w:val="en-GB"/>
          <w14:ligatures w14:val="none"/>
        </w:rPr>
        <w:t>1</w:t>
      </w:r>
    </w:p>
    <w:p w14:paraId="72AEFB06" w14:textId="1F334924" w:rsidR="00671936" w:rsidRPr="00B2649F" w:rsidRDefault="00671936" w:rsidP="00FE1620">
      <w:pPr>
        <w:pStyle w:val="IntroductionParagraph"/>
        <w:pBdr>
          <w:top w:val="single" w:sz="4" w:space="1" w:color="auto"/>
          <w:left w:val="single" w:sz="4" w:space="4" w:color="auto"/>
          <w:bottom w:val="single" w:sz="4" w:space="1" w:color="auto"/>
          <w:right w:val="single" w:sz="4" w:space="4" w:color="auto"/>
        </w:pBdr>
        <w:spacing w:after="0" w:line="240" w:lineRule="auto"/>
        <w:ind w:left="0"/>
        <w:rPr>
          <w:rFonts w:cs="Arial"/>
          <w:bCs/>
          <w:color w:val="0D133D"/>
          <w:sz w:val="20"/>
          <w:szCs w:val="20"/>
          <w:lang w:val="en-GB"/>
          <w14:ligatures w14:val="none"/>
        </w:rPr>
      </w:pPr>
      <w:r w:rsidRPr="00B2649F">
        <w:rPr>
          <w:rFonts w:cs="Arial"/>
          <w:bCs/>
          <w:color w:val="0D133D"/>
          <w:sz w:val="20"/>
          <w:szCs w:val="20"/>
          <w:lang w:val="en-GB"/>
          <w14:ligatures w14:val="none"/>
        </w:rPr>
        <w:t>C</w:t>
      </w:r>
      <w:r w:rsidR="00704C12" w:rsidRPr="00B2649F">
        <w:rPr>
          <w:rFonts w:cs="Arial"/>
          <w:bCs/>
          <w:color w:val="0D133D"/>
          <w:sz w:val="20"/>
          <w:szCs w:val="20"/>
          <w:lang w:val="en-GB"/>
          <w14:ligatures w14:val="none"/>
        </w:rPr>
        <w:t>ontract terms</w:t>
      </w:r>
      <w:r w:rsidRPr="00B2649F">
        <w:rPr>
          <w:rFonts w:cs="Arial"/>
          <w:bCs/>
          <w:color w:val="0D133D"/>
          <w:sz w:val="20"/>
          <w:szCs w:val="20"/>
          <w:lang w:val="en-GB"/>
          <w14:ligatures w14:val="none"/>
        </w:rPr>
        <w:t xml:space="preserve"> </w:t>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Pr="00B2649F">
        <w:rPr>
          <w:rFonts w:cs="Arial"/>
          <w:bCs/>
          <w:color w:val="0D133D"/>
          <w:sz w:val="20"/>
          <w:szCs w:val="20"/>
          <w:lang w:val="en-GB"/>
          <w14:ligatures w14:val="none"/>
        </w:rPr>
        <w:t>p</w:t>
      </w:r>
      <w:r w:rsidR="0035777D">
        <w:rPr>
          <w:rFonts w:cs="Arial"/>
          <w:bCs/>
          <w:color w:val="0D133D"/>
          <w:sz w:val="20"/>
          <w:szCs w:val="20"/>
          <w:lang w:val="en-GB"/>
          <w14:ligatures w14:val="none"/>
        </w:rPr>
        <w:t xml:space="preserve">age </w:t>
      </w:r>
      <w:r w:rsidR="00A116BD">
        <w:rPr>
          <w:rFonts w:cs="Arial"/>
          <w:bCs/>
          <w:color w:val="0D133D"/>
          <w:sz w:val="20"/>
          <w:szCs w:val="20"/>
          <w:lang w:val="en-GB"/>
          <w14:ligatures w14:val="none"/>
        </w:rPr>
        <w:t>9</w:t>
      </w:r>
      <w:r w:rsidRPr="00B2649F">
        <w:rPr>
          <w:rFonts w:cs="Arial"/>
          <w:bCs/>
          <w:color w:val="0D133D"/>
          <w:sz w:val="20"/>
          <w:szCs w:val="20"/>
          <w:lang w:val="en-GB"/>
          <w14:ligatures w14:val="none"/>
        </w:rPr>
        <w:t xml:space="preserve"> </w:t>
      </w:r>
    </w:p>
    <w:p w14:paraId="1A6E4FFF" w14:textId="0D89B143" w:rsidR="00704C12" w:rsidRDefault="00704C12" w:rsidP="007B3FCB">
      <w:pPr>
        <w:pStyle w:val="IntroductionParagraph"/>
        <w:pBdr>
          <w:top w:val="single" w:sz="4" w:space="1" w:color="auto"/>
          <w:left w:val="single" w:sz="4" w:space="4" w:color="auto"/>
          <w:bottom w:val="single" w:sz="4" w:space="1" w:color="auto"/>
          <w:right w:val="single" w:sz="4" w:space="4" w:color="auto"/>
        </w:pBdr>
        <w:spacing w:after="0" w:line="240" w:lineRule="auto"/>
        <w:ind w:left="0"/>
        <w:rPr>
          <w:rFonts w:cs="Arial"/>
          <w:bCs/>
          <w:color w:val="0D133D"/>
          <w:sz w:val="20"/>
          <w:szCs w:val="20"/>
          <w:lang w:val="en-GB"/>
          <w14:ligatures w14:val="none"/>
        </w:rPr>
      </w:pPr>
      <w:r w:rsidRPr="00B2649F">
        <w:rPr>
          <w:rFonts w:cs="Arial"/>
          <w:bCs/>
          <w:color w:val="0D133D"/>
          <w:sz w:val="20"/>
          <w:szCs w:val="20"/>
          <w:lang w:val="en-GB"/>
          <w14:ligatures w14:val="none"/>
        </w:rPr>
        <w:t>Detail</w:t>
      </w:r>
      <w:r w:rsidR="007B3FCB" w:rsidRPr="00B2649F">
        <w:rPr>
          <w:rFonts w:cs="Arial"/>
          <w:bCs/>
          <w:color w:val="0D133D"/>
          <w:sz w:val="20"/>
          <w:szCs w:val="20"/>
          <w:lang w:val="en-GB"/>
          <w14:ligatures w14:val="none"/>
        </w:rPr>
        <w:t>ed</w:t>
      </w:r>
      <w:r w:rsidRPr="00B2649F">
        <w:rPr>
          <w:rFonts w:cs="Arial"/>
          <w:bCs/>
          <w:color w:val="0D133D"/>
          <w:sz w:val="20"/>
          <w:szCs w:val="20"/>
          <w:lang w:val="en-GB"/>
          <w14:ligatures w14:val="none"/>
        </w:rPr>
        <w:t xml:space="preserve"> notes </w:t>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r>
      <w:r w:rsidR="00F66175" w:rsidRPr="00B2649F">
        <w:rPr>
          <w:rFonts w:cs="Arial"/>
          <w:bCs/>
          <w:color w:val="0D133D"/>
          <w:sz w:val="20"/>
          <w:szCs w:val="20"/>
          <w:lang w:val="en-GB"/>
          <w14:ligatures w14:val="none"/>
        </w:rPr>
        <w:tab/>
        <w:t>p</w:t>
      </w:r>
      <w:r w:rsidR="0035777D">
        <w:rPr>
          <w:rFonts w:cs="Arial"/>
          <w:bCs/>
          <w:color w:val="0D133D"/>
          <w:sz w:val="20"/>
          <w:szCs w:val="20"/>
          <w:lang w:val="en-GB"/>
          <w14:ligatures w14:val="none"/>
        </w:rPr>
        <w:t>age 3</w:t>
      </w:r>
      <w:r w:rsidR="00A116BD">
        <w:rPr>
          <w:rFonts w:cs="Arial"/>
          <w:bCs/>
          <w:color w:val="0D133D"/>
          <w:sz w:val="20"/>
          <w:szCs w:val="20"/>
          <w:lang w:val="en-GB"/>
          <w14:ligatures w14:val="none"/>
        </w:rPr>
        <w:t>6</w:t>
      </w:r>
    </w:p>
    <w:p w14:paraId="3DBA8E6C" w14:textId="77777777" w:rsidR="00161019" w:rsidRPr="00B2649F" w:rsidRDefault="00161019" w:rsidP="007B3FCB">
      <w:pPr>
        <w:pStyle w:val="IntroductionParagraph"/>
        <w:pBdr>
          <w:top w:val="single" w:sz="4" w:space="1" w:color="auto"/>
          <w:left w:val="single" w:sz="4" w:space="4" w:color="auto"/>
          <w:bottom w:val="single" w:sz="4" w:space="1" w:color="auto"/>
          <w:right w:val="single" w:sz="4" w:space="4" w:color="auto"/>
        </w:pBdr>
        <w:spacing w:after="0" w:line="240" w:lineRule="auto"/>
        <w:ind w:left="0"/>
        <w:rPr>
          <w:rFonts w:cs="Arial"/>
          <w:bCs/>
          <w:color w:val="0D133D"/>
          <w:sz w:val="20"/>
          <w:szCs w:val="20"/>
          <w:lang w:val="en-GB"/>
          <w14:ligatures w14:val="none"/>
        </w:rPr>
      </w:pPr>
    </w:p>
    <w:p w14:paraId="796FD6F8" w14:textId="3066ECB6" w:rsidR="00037C84" w:rsidRPr="00403FB7" w:rsidRDefault="00580FA7" w:rsidP="00374E6F">
      <w:pPr>
        <w:pStyle w:val="Heading1"/>
        <w:numPr>
          <w:ilvl w:val="0"/>
          <w:numId w:val="0"/>
        </w:numPr>
        <w:ind w:left="432" w:hanging="432"/>
        <w:rPr>
          <w:color w:val="002060"/>
        </w:rPr>
      </w:pPr>
      <w:r w:rsidRPr="00403FB7">
        <w:rPr>
          <w:color w:val="002060"/>
        </w:rPr>
        <w:t>Wh</w:t>
      </w:r>
      <w:r w:rsidR="00AB5EB4" w:rsidRPr="00403FB7">
        <w:rPr>
          <w:color w:val="002060"/>
        </w:rPr>
        <w:t xml:space="preserve">en to </w:t>
      </w:r>
      <w:r w:rsidRPr="00403FB7">
        <w:rPr>
          <w:color w:val="002060"/>
        </w:rPr>
        <w:t xml:space="preserve">use this </w:t>
      </w:r>
      <w:r w:rsidR="00704C12" w:rsidRPr="00403FB7">
        <w:rPr>
          <w:color w:val="002060"/>
        </w:rPr>
        <w:t>contract</w:t>
      </w:r>
    </w:p>
    <w:p w14:paraId="6917E226" w14:textId="77777777" w:rsidR="00916C31" w:rsidRDefault="00A524BF" w:rsidP="004944C4">
      <w:pPr>
        <w:pStyle w:val="BodyText"/>
        <w:rPr>
          <w:lang w:eastAsia="en-GB"/>
        </w:rPr>
      </w:pPr>
      <w:r w:rsidRPr="004944C4">
        <w:rPr>
          <w:lang w:eastAsia="en-GB"/>
        </w:rPr>
        <w:t>Use this contract when supplying temporary workers</w:t>
      </w:r>
      <w:r w:rsidR="00916C31">
        <w:rPr>
          <w:lang w:eastAsia="en-GB"/>
        </w:rPr>
        <w:t>:</w:t>
      </w:r>
    </w:p>
    <w:p w14:paraId="76DEE86F" w14:textId="77777777" w:rsidR="00916C31" w:rsidRDefault="00916C31" w:rsidP="004944C4">
      <w:pPr>
        <w:pStyle w:val="BodyText"/>
        <w:rPr>
          <w:lang w:eastAsia="en-GB"/>
        </w:rPr>
      </w:pPr>
    </w:p>
    <w:p w14:paraId="7539AEE6" w14:textId="37B8679C" w:rsidR="00D96AD0" w:rsidRDefault="00A524BF" w:rsidP="00B96D36">
      <w:pPr>
        <w:pStyle w:val="BodyText"/>
        <w:numPr>
          <w:ilvl w:val="0"/>
          <w:numId w:val="34"/>
        </w:numPr>
        <w:rPr>
          <w:lang w:eastAsia="en-GB"/>
        </w:rPr>
      </w:pPr>
      <w:r w:rsidRPr="004944C4">
        <w:rPr>
          <w:lang w:eastAsia="en-GB"/>
        </w:rPr>
        <w:t>to a client</w:t>
      </w:r>
      <w:r w:rsidR="00916C31">
        <w:rPr>
          <w:lang w:eastAsia="en-GB"/>
        </w:rPr>
        <w:t xml:space="preserve"> which is </w:t>
      </w:r>
      <w:r w:rsidR="008C30F6">
        <w:rPr>
          <w:lang w:eastAsia="en-GB"/>
        </w:rPr>
        <w:t xml:space="preserve">exempt from the off-payroll rules </w:t>
      </w:r>
      <w:r w:rsidR="00F4108A">
        <w:rPr>
          <w:lang w:eastAsia="en-GB"/>
        </w:rPr>
        <w:t xml:space="preserve">(see next page) </w:t>
      </w:r>
      <w:r w:rsidR="00916C31">
        <w:rPr>
          <w:lang w:eastAsia="en-GB"/>
        </w:rPr>
        <w:t xml:space="preserve">and you engage </w:t>
      </w:r>
      <w:r w:rsidR="00AB67F0">
        <w:rPr>
          <w:lang w:eastAsia="en-GB"/>
        </w:rPr>
        <w:t xml:space="preserve">those </w:t>
      </w:r>
      <w:r w:rsidR="008D0E4B" w:rsidRPr="004944C4">
        <w:rPr>
          <w:lang w:eastAsia="en-GB"/>
        </w:rPr>
        <w:t>temporary workers</w:t>
      </w:r>
      <w:r w:rsidR="001E737E">
        <w:rPr>
          <w:lang w:eastAsia="en-GB"/>
        </w:rPr>
        <w:t xml:space="preserve"> either</w:t>
      </w:r>
      <w:r w:rsidR="00D96AD0" w:rsidRPr="004944C4">
        <w:rPr>
          <w:lang w:eastAsia="en-GB"/>
        </w:rPr>
        <w:t>:</w:t>
      </w:r>
      <w:r w:rsidR="008D0E4B" w:rsidRPr="004944C4">
        <w:rPr>
          <w:lang w:eastAsia="en-GB"/>
        </w:rPr>
        <w:t xml:space="preserve"> </w:t>
      </w:r>
    </w:p>
    <w:p w14:paraId="0C27ADB2" w14:textId="77777777" w:rsidR="00936C78" w:rsidRPr="004944C4" w:rsidRDefault="00936C78" w:rsidP="004944C4">
      <w:pPr>
        <w:pStyle w:val="BodyText"/>
        <w:rPr>
          <w:lang w:eastAsia="en-GB"/>
        </w:rPr>
      </w:pPr>
    </w:p>
    <w:p w14:paraId="0B0BDF94" w14:textId="66B1A91D" w:rsidR="00D96AD0" w:rsidRPr="004944C4" w:rsidRDefault="00916C31" w:rsidP="00B96D36">
      <w:pPr>
        <w:pStyle w:val="BodyText"/>
        <w:numPr>
          <w:ilvl w:val="0"/>
          <w:numId w:val="11"/>
        </w:numPr>
        <w:ind w:left="1080"/>
        <w:rPr>
          <w:lang w:eastAsia="en-GB"/>
        </w:rPr>
      </w:pPr>
      <w:r>
        <w:rPr>
          <w:lang w:eastAsia="en-GB"/>
        </w:rPr>
        <w:t>Directly</w:t>
      </w:r>
      <w:r w:rsidR="00D96AD0" w:rsidRPr="004944C4">
        <w:rPr>
          <w:lang w:eastAsia="en-GB"/>
        </w:rPr>
        <w:t xml:space="preserve"> on</w:t>
      </w:r>
      <w:r w:rsidR="008D0E4B" w:rsidRPr="004944C4">
        <w:rPr>
          <w:lang w:eastAsia="en-GB"/>
        </w:rPr>
        <w:t xml:space="preserve"> PAYE</w:t>
      </w:r>
    </w:p>
    <w:p w14:paraId="3F3D6EB4" w14:textId="3FAD9259" w:rsidR="00D96AD0" w:rsidRPr="004944C4" w:rsidRDefault="00936C78" w:rsidP="00B96D36">
      <w:pPr>
        <w:pStyle w:val="BodyText"/>
        <w:numPr>
          <w:ilvl w:val="0"/>
          <w:numId w:val="11"/>
        </w:numPr>
        <w:ind w:left="1080"/>
        <w:rPr>
          <w:lang w:eastAsia="en-GB"/>
        </w:rPr>
      </w:pPr>
      <w:r>
        <w:rPr>
          <w:lang w:eastAsia="en-GB"/>
        </w:rPr>
        <w:t>T</w:t>
      </w:r>
      <w:r w:rsidR="00D96AD0" w:rsidRPr="004944C4">
        <w:rPr>
          <w:lang w:eastAsia="en-GB"/>
        </w:rPr>
        <w:t xml:space="preserve">hrough </w:t>
      </w:r>
      <w:r w:rsidR="008D0E4B" w:rsidRPr="004944C4">
        <w:rPr>
          <w:lang w:eastAsia="en-GB"/>
        </w:rPr>
        <w:t>an umbrella</w:t>
      </w:r>
      <w:r w:rsidR="00D96AD0" w:rsidRPr="004944C4">
        <w:rPr>
          <w:lang w:eastAsia="en-GB"/>
        </w:rPr>
        <w:t xml:space="preserve"> company</w:t>
      </w:r>
      <w:r w:rsidR="001E737E">
        <w:rPr>
          <w:lang w:eastAsia="en-GB"/>
        </w:rPr>
        <w:t>, or</w:t>
      </w:r>
    </w:p>
    <w:p w14:paraId="58DA63CD" w14:textId="52533915" w:rsidR="00D96AD0" w:rsidRPr="004944C4" w:rsidRDefault="00936C78" w:rsidP="00B96D36">
      <w:pPr>
        <w:pStyle w:val="BodyText"/>
        <w:numPr>
          <w:ilvl w:val="0"/>
          <w:numId w:val="11"/>
        </w:numPr>
        <w:ind w:left="1080"/>
        <w:rPr>
          <w:lang w:eastAsia="en-GB"/>
        </w:rPr>
      </w:pPr>
      <w:r>
        <w:rPr>
          <w:lang w:eastAsia="en-GB"/>
        </w:rPr>
        <w:t>T</w:t>
      </w:r>
      <w:r w:rsidR="00D96AD0" w:rsidRPr="004944C4">
        <w:rPr>
          <w:lang w:eastAsia="en-GB"/>
        </w:rPr>
        <w:t xml:space="preserve">hrough </w:t>
      </w:r>
      <w:r w:rsidR="00A524BF" w:rsidRPr="004944C4">
        <w:rPr>
          <w:lang w:eastAsia="en-GB"/>
        </w:rPr>
        <w:t xml:space="preserve">a personal services company. </w:t>
      </w:r>
    </w:p>
    <w:p w14:paraId="5946769F" w14:textId="77777777" w:rsidR="00D96AD0" w:rsidRPr="004944C4" w:rsidRDefault="00D96AD0" w:rsidP="00B96D36">
      <w:pPr>
        <w:pStyle w:val="BodyText"/>
        <w:ind w:left="360"/>
        <w:rPr>
          <w:lang w:eastAsia="en-GB"/>
        </w:rPr>
      </w:pPr>
    </w:p>
    <w:p w14:paraId="1316F1CF" w14:textId="316CFC9D" w:rsidR="00A524BF" w:rsidRDefault="00A524BF" w:rsidP="00F63FCE">
      <w:pPr>
        <w:pStyle w:val="BodyText"/>
        <w:rPr>
          <w:lang w:eastAsia="en-GB"/>
        </w:rPr>
      </w:pPr>
      <w:r w:rsidRPr="00B96D36">
        <w:rPr>
          <w:b/>
          <w:lang w:eastAsia="en-GB"/>
        </w:rPr>
        <w:t xml:space="preserve">Do not use these terms </w:t>
      </w:r>
      <w:r w:rsidR="00663AEE" w:rsidRPr="00B96D36">
        <w:rPr>
          <w:b/>
          <w:lang w:eastAsia="en-GB"/>
        </w:rPr>
        <w:t>i</w:t>
      </w:r>
      <w:r w:rsidRPr="00B96D36">
        <w:rPr>
          <w:b/>
          <w:lang w:eastAsia="en-GB"/>
        </w:rPr>
        <w:t xml:space="preserve">f the client is </w:t>
      </w:r>
      <w:r w:rsidR="008C30F6">
        <w:rPr>
          <w:b/>
          <w:lang w:eastAsia="en-GB"/>
        </w:rPr>
        <w:t xml:space="preserve">not </w:t>
      </w:r>
      <w:r w:rsidRPr="00B96D36">
        <w:rPr>
          <w:b/>
          <w:lang w:eastAsia="en-GB"/>
        </w:rPr>
        <w:t>exempt from the off-payroll rules</w:t>
      </w:r>
      <w:r w:rsidRPr="004944C4">
        <w:rPr>
          <w:lang w:eastAsia="en-GB"/>
        </w:rPr>
        <w:t xml:space="preserve"> (see </w:t>
      </w:r>
      <w:r w:rsidR="003224C6">
        <w:rPr>
          <w:lang w:eastAsia="en-GB"/>
        </w:rPr>
        <w:t>overleaf</w:t>
      </w:r>
      <w:r w:rsidRPr="004944C4">
        <w:rPr>
          <w:lang w:eastAsia="en-GB"/>
        </w:rPr>
        <w:t xml:space="preserve">). </w:t>
      </w:r>
      <w:r w:rsidR="008C30F6">
        <w:rPr>
          <w:lang w:eastAsia="en-GB"/>
        </w:rPr>
        <w:t xml:space="preserve">Instead you can use contract 3A </w:t>
      </w:r>
      <w:r w:rsidRPr="004944C4">
        <w:rPr>
          <w:lang w:eastAsia="en-GB"/>
        </w:rPr>
        <w:t xml:space="preserve">when the client is </w:t>
      </w:r>
      <w:r w:rsidR="008C30F6">
        <w:rPr>
          <w:lang w:eastAsia="en-GB"/>
        </w:rPr>
        <w:t xml:space="preserve">not </w:t>
      </w:r>
      <w:r w:rsidRPr="004944C4">
        <w:rPr>
          <w:lang w:eastAsia="en-GB"/>
        </w:rPr>
        <w:t xml:space="preserve">exempt from those rules. Alternatively, if you only supply PAYE workers (engaged directly by your business) you can use Template Contract 3 . </w:t>
      </w:r>
    </w:p>
    <w:p w14:paraId="257EA5BE" w14:textId="77777777" w:rsidR="00B2649F" w:rsidRPr="004944C4" w:rsidRDefault="00B2649F" w:rsidP="004944C4">
      <w:pPr>
        <w:pStyle w:val="BodyText"/>
        <w:rPr>
          <w:color w:val="FF0000"/>
          <w:lang w:eastAsia="en-GB"/>
        </w:rPr>
      </w:pPr>
    </w:p>
    <w:p w14:paraId="32E9F3CA" w14:textId="5A94936A" w:rsidR="00A524BF" w:rsidRDefault="00A524BF" w:rsidP="004944C4">
      <w:pPr>
        <w:pStyle w:val="BodyText"/>
        <w:rPr>
          <w:rStyle w:val="Hyperlink"/>
        </w:rPr>
      </w:pPr>
      <w:r w:rsidRPr="004944C4">
        <w:rPr>
          <w:rFonts w:cs="Times New Roman"/>
          <w:bCs/>
          <w:lang w:eastAsia="en-GB"/>
        </w:rPr>
        <w:t xml:space="preserve">All our template documents are available in </w:t>
      </w:r>
      <w:r w:rsidRPr="004944C4">
        <w:t xml:space="preserve">the </w:t>
      </w:r>
      <w:hyperlink r:id="rId8" w:history="1">
        <w:r w:rsidRPr="00B96D36">
          <w:rPr>
            <w:rStyle w:val="Hyperlink"/>
            <w:color w:val="36BEAE" w:themeColor="text2"/>
          </w:rPr>
          <w:t>REC Template Document Library</w:t>
        </w:r>
      </w:hyperlink>
      <w:r w:rsidRPr="004944C4">
        <w:rPr>
          <w:rStyle w:val="Hyperlink"/>
        </w:rPr>
        <w:t>.</w:t>
      </w:r>
    </w:p>
    <w:p w14:paraId="10E83CAD" w14:textId="77777777" w:rsidR="00F77E5C" w:rsidRPr="004944C4" w:rsidRDefault="00F77E5C" w:rsidP="004944C4">
      <w:pPr>
        <w:pStyle w:val="BodyText"/>
        <w:rPr>
          <w:rFonts w:cs="Times New Roman"/>
          <w:bCs/>
          <w:lang w:eastAsia="en-GB"/>
        </w:rPr>
      </w:pPr>
    </w:p>
    <w:p w14:paraId="484C56FA" w14:textId="77777777" w:rsidR="00403FB7" w:rsidRDefault="00403FB7">
      <w:pPr>
        <w:rPr>
          <w:rStyle w:val="Heading2Char"/>
        </w:rPr>
      </w:pPr>
      <w:r>
        <w:rPr>
          <w:rStyle w:val="Heading2Char"/>
        </w:rPr>
        <w:br w:type="page"/>
      </w:r>
    </w:p>
    <w:p w14:paraId="40E12B83" w14:textId="7414429C" w:rsidR="00041507" w:rsidRPr="00367235" w:rsidRDefault="00041507" w:rsidP="00041507">
      <w:pPr>
        <w:rPr>
          <w:rFonts w:ascii="Lato" w:hAnsi="Lato" w:cs="Times New Roman"/>
          <w:b/>
          <w:bCs/>
          <w:color w:val="009999"/>
          <w:lang w:eastAsia="en-GB"/>
        </w:rPr>
      </w:pPr>
      <w:r>
        <w:rPr>
          <w:rStyle w:val="Heading2Char"/>
        </w:rPr>
        <w:lastRenderedPageBreak/>
        <w:t>Use this contract with the following documents:</w:t>
      </w:r>
    </w:p>
    <w:tbl>
      <w:tblPr>
        <w:tblStyle w:val="RECtable1"/>
        <w:tblW w:w="9072" w:type="dxa"/>
        <w:tblLook w:val="01C0" w:firstRow="0" w:lastRow="1" w:firstColumn="1" w:lastColumn="1" w:noHBand="0" w:noVBand="0"/>
      </w:tblPr>
      <w:tblGrid>
        <w:gridCol w:w="2730"/>
        <w:gridCol w:w="6342"/>
      </w:tblGrid>
      <w:tr w:rsidR="00041507" w:rsidRPr="00CD127A" w14:paraId="036004D7" w14:textId="77777777" w:rsidTr="00607C40">
        <w:tc>
          <w:tcPr>
            <w:tcW w:w="2730" w:type="dxa"/>
          </w:tcPr>
          <w:p w14:paraId="194F2A8B" w14:textId="77777777" w:rsidR="00041507" w:rsidRPr="006F2347" w:rsidRDefault="00041507" w:rsidP="00607C40">
            <w:pPr>
              <w:pStyle w:val="Header"/>
              <w:ind w:right="-46"/>
              <w:rPr>
                <w:rFonts w:ascii="Lato" w:hAnsi="Lato"/>
                <w:b/>
                <w:bCs/>
                <w:color w:val="auto"/>
              </w:rPr>
            </w:pPr>
            <w:r w:rsidRPr="006F2347">
              <w:rPr>
                <w:rFonts w:ascii="Lato" w:hAnsi="Lato"/>
                <w:b/>
                <w:bCs/>
                <w:color w:val="auto"/>
              </w:rPr>
              <w:t>Contracts</w:t>
            </w:r>
          </w:p>
        </w:tc>
        <w:tc>
          <w:tcPr>
            <w:tcW w:w="6342" w:type="dxa"/>
          </w:tcPr>
          <w:p w14:paraId="0D1FC3D5" w14:textId="77777777" w:rsidR="00041507" w:rsidRPr="006F2347" w:rsidRDefault="00041507" w:rsidP="00607C40">
            <w:pPr>
              <w:pStyle w:val="Header"/>
              <w:numPr>
                <w:ilvl w:val="0"/>
                <w:numId w:val="10"/>
              </w:numPr>
              <w:ind w:right="-46"/>
              <w:rPr>
                <w:rFonts w:ascii="Lato" w:hAnsi="Lato"/>
                <w:bCs/>
                <w:color w:val="auto"/>
              </w:rPr>
            </w:pPr>
            <w:r w:rsidRPr="006F2347">
              <w:rPr>
                <w:rFonts w:ascii="Lato" w:hAnsi="Lato"/>
                <w:bCs/>
                <w:color w:val="auto"/>
              </w:rPr>
              <w:t>4 - Terms of engagement with a PAYE Agency Worker</w:t>
            </w:r>
          </w:p>
          <w:p w14:paraId="16A871BD" w14:textId="77777777" w:rsidR="00041507" w:rsidRPr="006F2347" w:rsidRDefault="00041507" w:rsidP="00607C40">
            <w:pPr>
              <w:pStyle w:val="Header"/>
              <w:numPr>
                <w:ilvl w:val="0"/>
                <w:numId w:val="8"/>
              </w:numPr>
              <w:ind w:right="-46"/>
              <w:rPr>
                <w:rFonts w:ascii="Lato" w:hAnsi="Lato"/>
                <w:bCs/>
                <w:color w:val="auto"/>
              </w:rPr>
            </w:pPr>
            <w:r w:rsidRPr="006F2347">
              <w:rPr>
                <w:rFonts w:ascii="Lato" w:hAnsi="Lato"/>
                <w:bCs/>
                <w:color w:val="auto"/>
              </w:rPr>
              <w:t>4A- Terms with an umbrella company</w:t>
            </w:r>
          </w:p>
          <w:p w14:paraId="57200B58" w14:textId="77777777" w:rsidR="00041507" w:rsidRPr="006F2347" w:rsidRDefault="00041507" w:rsidP="00607C40">
            <w:pPr>
              <w:pStyle w:val="Header"/>
              <w:numPr>
                <w:ilvl w:val="0"/>
                <w:numId w:val="8"/>
              </w:numPr>
              <w:ind w:right="-46"/>
              <w:rPr>
                <w:rFonts w:ascii="Lato" w:hAnsi="Lato"/>
                <w:bCs/>
                <w:color w:val="auto"/>
              </w:rPr>
            </w:pPr>
            <w:r w:rsidRPr="006F2347">
              <w:rPr>
                <w:rFonts w:ascii="Lato" w:hAnsi="Lato"/>
                <w:bCs/>
                <w:color w:val="auto"/>
              </w:rPr>
              <w:t xml:space="preserve">4D - Terms with a personal service company (when client is exempt) </w:t>
            </w:r>
          </w:p>
        </w:tc>
      </w:tr>
      <w:tr w:rsidR="00041507" w:rsidRPr="00CD127A" w14:paraId="139B4C47" w14:textId="77777777" w:rsidTr="00607C40">
        <w:tc>
          <w:tcPr>
            <w:tcW w:w="2730" w:type="dxa"/>
          </w:tcPr>
          <w:p w14:paraId="15A665BA" w14:textId="77777777" w:rsidR="00041507" w:rsidRPr="006F2347" w:rsidRDefault="00041507" w:rsidP="00607C40">
            <w:pPr>
              <w:pStyle w:val="Header"/>
              <w:ind w:right="-46"/>
              <w:rPr>
                <w:rFonts w:ascii="Lato" w:hAnsi="Lato"/>
                <w:b/>
                <w:bCs/>
                <w:color w:val="auto"/>
              </w:rPr>
            </w:pPr>
            <w:r w:rsidRPr="006F2347">
              <w:rPr>
                <w:rFonts w:ascii="Lato" w:hAnsi="Lato"/>
                <w:b/>
                <w:bCs/>
                <w:color w:val="auto"/>
              </w:rPr>
              <w:t>Additional Documents</w:t>
            </w:r>
          </w:p>
        </w:tc>
        <w:tc>
          <w:tcPr>
            <w:tcW w:w="6342" w:type="dxa"/>
          </w:tcPr>
          <w:p w14:paraId="2B995E33" w14:textId="77777777" w:rsidR="00041507" w:rsidRPr="006F2347" w:rsidRDefault="00041507" w:rsidP="00607C40">
            <w:pPr>
              <w:pStyle w:val="Header"/>
              <w:numPr>
                <w:ilvl w:val="0"/>
                <w:numId w:val="9"/>
              </w:numPr>
              <w:ind w:left="360" w:right="-46"/>
              <w:rPr>
                <w:rFonts w:ascii="Lato" w:hAnsi="Lato"/>
                <w:bCs/>
                <w:color w:val="auto"/>
              </w:rPr>
            </w:pPr>
            <w:r w:rsidRPr="006F2347">
              <w:rPr>
                <w:rFonts w:ascii="Lato" w:hAnsi="Lato"/>
                <w:bCs/>
                <w:color w:val="auto"/>
              </w:rPr>
              <w:t>Key Information Document (3 templates)</w:t>
            </w:r>
          </w:p>
          <w:p w14:paraId="35BF84E6" w14:textId="77777777" w:rsidR="00041507" w:rsidRPr="006F2347" w:rsidRDefault="00041507" w:rsidP="00607C40">
            <w:pPr>
              <w:pStyle w:val="Header"/>
              <w:numPr>
                <w:ilvl w:val="0"/>
                <w:numId w:val="9"/>
              </w:numPr>
              <w:ind w:left="360" w:right="-46"/>
              <w:rPr>
                <w:rFonts w:ascii="Lato" w:hAnsi="Lato"/>
                <w:bCs/>
                <w:color w:val="auto"/>
              </w:rPr>
            </w:pPr>
            <w:r w:rsidRPr="006F2347">
              <w:rPr>
                <w:rFonts w:ascii="Lato" w:hAnsi="Lato"/>
                <w:bCs/>
                <w:color w:val="auto"/>
              </w:rPr>
              <w:t>Assignment Details Form (we have different templates for PAYE workers and those working through an intermediary)</w:t>
            </w:r>
          </w:p>
          <w:p w14:paraId="0F5A3224" w14:textId="77777777" w:rsidR="00041507" w:rsidRPr="006F2347" w:rsidRDefault="00041507" w:rsidP="00607C40">
            <w:pPr>
              <w:pStyle w:val="Header"/>
              <w:numPr>
                <w:ilvl w:val="0"/>
                <w:numId w:val="9"/>
              </w:numPr>
              <w:ind w:left="360" w:right="-46"/>
              <w:rPr>
                <w:rFonts w:ascii="Lato" w:hAnsi="Lato"/>
                <w:bCs/>
                <w:color w:val="auto"/>
              </w:rPr>
            </w:pPr>
            <w:r w:rsidRPr="006F2347">
              <w:rPr>
                <w:rFonts w:ascii="Lato" w:hAnsi="Lato"/>
                <w:bCs/>
                <w:color w:val="auto"/>
              </w:rPr>
              <w:t>Conduct Regulations Opt-out forms C</w:t>
            </w:r>
            <w:r>
              <w:rPr>
                <w:rFonts w:ascii="Lato" w:hAnsi="Lato"/>
                <w:bCs/>
                <w:color w:val="auto"/>
              </w:rPr>
              <w:t>R</w:t>
            </w:r>
            <w:r w:rsidRPr="006F2347">
              <w:rPr>
                <w:rFonts w:ascii="Lato" w:hAnsi="Lato"/>
                <w:bCs/>
                <w:color w:val="auto"/>
              </w:rPr>
              <w:t>1 (PSC) and C</w:t>
            </w:r>
            <w:r>
              <w:rPr>
                <w:rFonts w:ascii="Lato" w:hAnsi="Lato"/>
                <w:bCs/>
                <w:color w:val="auto"/>
              </w:rPr>
              <w:t>R</w:t>
            </w:r>
            <w:r w:rsidRPr="006F2347">
              <w:rPr>
                <w:rFonts w:ascii="Lato" w:hAnsi="Lato"/>
                <w:bCs/>
                <w:color w:val="auto"/>
              </w:rPr>
              <w:t xml:space="preserve">2 (Umbrella) </w:t>
            </w:r>
          </w:p>
          <w:p w14:paraId="1242469A" w14:textId="77777777" w:rsidR="00041507" w:rsidRPr="006F2347" w:rsidRDefault="00041507" w:rsidP="00607C40">
            <w:pPr>
              <w:pStyle w:val="Header"/>
              <w:numPr>
                <w:ilvl w:val="0"/>
                <w:numId w:val="9"/>
              </w:numPr>
              <w:ind w:left="360" w:right="-46"/>
              <w:rPr>
                <w:rFonts w:ascii="Lato" w:hAnsi="Lato"/>
                <w:bCs/>
                <w:color w:val="auto"/>
              </w:rPr>
            </w:pPr>
            <w:proofErr w:type="spellStart"/>
            <w:r w:rsidRPr="006F2347">
              <w:rPr>
                <w:rFonts w:ascii="Lato" w:hAnsi="Lato"/>
                <w:bCs/>
                <w:color w:val="auto"/>
              </w:rPr>
              <w:t>AWR</w:t>
            </w:r>
            <w:proofErr w:type="spellEnd"/>
            <w:r w:rsidRPr="006F2347">
              <w:rPr>
                <w:rFonts w:ascii="Lato" w:hAnsi="Lato"/>
                <w:bCs/>
                <w:color w:val="auto"/>
              </w:rPr>
              <w:t xml:space="preserve"> Information Request form G</w:t>
            </w:r>
          </w:p>
        </w:tc>
      </w:tr>
    </w:tbl>
    <w:p w14:paraId="47C9FA76" w14:textId="77777777" w:rsidR="00041507" w:rsidRPr="00CD127A" w:rsidRDefault="00041507" w:rsidP="00041507">
      <w:pPr>
        <w:ind w:right="284"/>
        <w:rPr>
          <w:rFonts w:ascii="Lato" w:hAnsi="Lato"/>
        </w:rPr>
      </w:pPr>
    </w:p>
    <w:p w14:paraId="1A3A6591" w14:textId="7AD51604" w:rsidR="00EF666F" w:rsidRDefault="00041507" w:rsidP="00041507">
      <w:pPr>
        <w:pStyle w:val="BodyText"/>
      </w:pPr>
      <w:r w:rsidRPr="00CD127A">
        <w:rPr>
          <w:lang w:eastAsia="en-GB"/>
        </w:rPr>
        <w:t>The REC has produced these template documents for use by corporate members. These are generic documents for use across a range of sectors so members will need to amend the contracts to suit their own business needs. Unfortunately, the REC Legal Team cannot amend documents for members, or review amendments they have made. However</w:t>
      </w:r>
      <w:r>
        <w:rPr>
          <w:lang w:eastAsia="en-GB"/>
        </w:rPr>
        <w:t xml:space="preserve"> our </w:t>
      </w:r>
      <w:hyperlink r:id="rId9" w:history="1">
        <w:r w:rsidRPr="00B96D36">
          <w:rPr>
            <w:rStyle w:val="Hyperlink"/>
            <w:color w:val="36BEAE" w:themeColor="text2"/>
            <w:lang w:eastAsia="en-GB"/>
          </w:rPr>
          <w:t>legal business partners</w:t>
        </w:r>
      </w:hyperlink>
      <w:r>
        <w:rPr>
          <w:lang w:eastAsia="en-GB"/>
        </w:rPr>
        <w:t xml:space="preserve"> </w:t>
      </w:r>
      <w:r w:rsidRPr="00CD127A">
        <w:rPr>
          <w:lang w:eastAsia="en-GB"/>
        </w:rPr>
        <w:t>can assist members at discounted rates</w:t>
      </w:r>
      <w:r w:rsidRPr="00CD127A">
        <w:t>.</w:t>
      </w:r>
    </w:p>
    <w:p w14:paraId="3EE1A147" w14:textId="7662203E" w:rsidR="00EF666F" w:rsidRPr="00C410EB" w:rsidRDefault="00EF666F" w:rsidP="00EF666F">
      <w:pPr>
        <w:pStyle w:val="IntroductionTitle"/>
        <w:spacing w:after="120" w:line="240" w:lineRule="auto"/>
        <w:rPr>
          <w:sz w:val="28"/>
          <w:szCs w:val="28"/>
        </w:rPr>
      </w:pPr>
      <w:bookmarkStart w:id="1" w:name="_Hlk52456078"/>
      <w:r>
        <w:rPr>
          <w:sz w:val="28"/>
          <w:szCs w:val="28"/>
        </w:rPr>
        <w:t xml:space="preserve">How do the contracts work together? </w:t>
      </w:r>
      <w:r w:rsidRPr="00C410EB">
        <w:rPr>
          <w:sz w:val="28"/>
          <w:szCs w:val="28"/>
        </w:rPr>
        <w:t xml:space="preserve"> </w:t>
      </w:r>
    </w:p>
    <w:bookmarkEnd w:id="1"/>
    <w:p w14:paraId="70F4EFC4" w14:textId="77777777" w:rsidR="00EF666F" w:rsidRPr="00241FA4" w:rsidRDefault="00EF666F" w:rsidP="00EF666F">
      <w:pPr>
        <w:pStyle w:val="BodyText"/>
        <w:rPr>
          <w:b/>
          <w:bCs/>
        </w:rPr>
      </w:pPr>
      <w:r w:rsidRPr="00241FA4">
        <w:rPr>
          <w:bCs/>
        </w:rPr>
        <w:t xml:space="preserve">In the table below we show which new contracts work with each other. </w:t>
      </w:r>
    </w:p>
    <w:p w14:paraId="7F9F1D46" w14:textId="77777777" w:rsidR="00EF666F" w:rsidRDefault="00EF666F" w:rsidP="00EF666F">
      <w:pPr>
        <w:pStyle w:val="BodyText"/>
      </w:pPr>
    </w:p>
    <w:tbl>
      <w:tblPr>
        <w:tblStyle w:val="TableGrid"/>
        <w:tblW w:w="9356" w:type="dxa"/>
        <w:tblInd w:w="-5" w:type="dxa"/>
        <w:tblLook w:val="04A0" w:firstRow="1" w:lastRow="0" w:firstColumn="1" w:lastColumn="0" w:noHBand="0" w:noVBand="1"/>
      </w:tblPr>
      <w:tblGrid>
        <w:gridCol w:w="3728"/>
        <w:gridCol w:w="1407"/>
        <w:gridCol w:w="1407"/>
        <w:gridCol w:w="1407"/>
        <w:gridCol w:w="1407"/>
      </w:tblGrid>
      <w:tr w:rsidR="00EF666F" w:rsidRPr="00DE7AFA" w14:paraId="43F9C9A4" w14:textId="77777777" w:rsidTr="00607C40">
        <w:trPr>
          <w:tblHeader/>
        </w:trPr>
        <w:tc>
          <w:tcPr>
            <w:tcW w:w="3728" w:type="dxa"/>
            <w:vMerge w:val="restart"/>
            <w:shd w:val="clear" w:color="auto" w:fill="BCC7ED" w:themeFill="background1" w:themeFillTint="66"/>
          </w:tcPr>
          <w:p w14:paraId="1632F600" w14:textId="77777777" w:rsidR="00EF666F" w:rsidRPr="00407EE1" w:rsidRDefault="00EF666F" w:rsidP="00607C40">
            <w:pPr>
              <w:rPr>
                <w:rFonts w:ascii="Lato" w:hAnsi="Lato"/>
                <w:b/>
                <w:bCs/>
                <w:sz w:val="18"/>
                <w:szCs w:val="18"/>
              </w:rPr>
            </w:pPr>
            <w:r w:rsidRPr="00407EE1">
              <w:rPr>
                <w:rFonts w:ascii="Lato" w:hAnsi="Lato"/>
                <w:b/>
                <w:sz w:val="18"/>
                <w:szCs w:val="18"/>
              </w:rPr>
              <w:t>Client contracts</w:t>
            </w:r>
          </w:p>
        </w:tc>
        <w:tc>
          <w:tcPr>
            <w:tcW w:w="5628" w:type="dxa"/>
            <w:gridSpan w:val="4"/>
            <w:shd w:val="clear" w:color="auto" w:fill="BCC7ED" w:themeFill="background1" w:themeFillTint="66"/>
          </w:tcPr>
          <w:p w14:paraId="3C14234F" w14:textId="77777777" w:rsidR="00EF666F" w:rsidRPr="00407EE1" w:rsidRDefault="00EF666F" w:rsidP="00607C40">
            <w:pPr>
              <w:jc w:val="center"/>
              <w:rPr>
                <w:rFonts w:ascii="Lato" w:hAnsi="Lato"/>
                <w:b/>
                <w:bCs/>
                <w:sz w:val="18"/>
                <w:szCs w:val="18"/>
              </w:rPr>
            </w:pPr>
            <w:r w:rsidRPr="00407EE1">
              <w:rPr>
                <w:rFonts w:ascii="Lato" w:hAnsi="Lato"/>
                <w:b/>
                <w:sz w:val="18"/>
                <w:szCs w:val="18"/>
              </w:rPr>
              <w:t>Temporary worker contracts</w:t>
            </w:r>
          </w:p>
          <w:p w14:paraId="6B9B6836" w14:textId="77777777" w:rsidR="00EF666F" w:rsidRPr="00407EE1" w:rsidRDefault="00EF666F" w:rsidP="00607C40">
            <w:pPr>
              <w:jc w:val="center"/>
              <w:rPr>
                <w:rFonts w:ascii="Lato" w:hAnsi="Lato"/>
                <w:b/>
                <w:bCs/>
                <w:sz w:val="18"/>
                <w:szCs w:val="18"/>
              </w:rPr>
            </w:pPr>
          </w:p>
        </w:tc>
      </w:tr>
      <w:tr w:rsidR="00EF666F" w:rsidRPr="00DE7AFA" w14:paraId="6D9698F0" w14:textId="77777777" w:rsidTr="00607C40">
        <w:trPr>
          <w:tblHeader/>
        </w:trPr>
        <w:tc>
          <w:tcPr>
            <w:tcW w:w="3728" w:type="dxa"/>
            <w:vMerge/>
            <w:shd w:val="clear" w:color="auto" w:fill="BCC7ED" w:themeFill="background1" w:themeFillTint="66"/>
          </w:tcPr>
          <w:p w14:paraId="60B97351" w14:textId="77777777" w:rsidR="00EF666F" w:rsidRPr="00407EE1" w:rsidRDefault="00EF666F" w:rsidP="00607C40">
            <w:pPr>
              <w:rPr>
                <w:rFonts w:ascii="Lato" w:hAnsi="Lato"/>
                <w:b/>
                <w:bCs/>
                <w:sz w:val="18"/>
                <w:szCs w:val="18"/>
              </w:rPr>
            </w:pPr>
          </w:p>
        </w:tc>
        <w:tc>
          <w:tcPr>
            <w:tcW w:w="1407" w:type="dxa"/>
            <w:shd w:val="clear" w:color="auto" w:fill="BCC7ED" w:themeFill="background1" w:themeFillTint="66"/>
          </w:tcPr>
          <w:p w14:paraId="4589C2FE" w14:textId="77777777" w:rsidR="00EF666F" w:rsidRPr="00407EE1" w:rsidRDefault="00EF666F" w:rsidP="00607C40">
            <w:pPr>
              <w:rPr>
                <w:rFonts w:ascii="Lato" w:hAnsi="Lato"/>
                <w:b/>
                <w:bCs/>
                <w:sz w:val="18"/>
                <w:szCs w:val="18"/>
              </w:rPr>
            </w:pPr>
            <w:r w:rsidRPr="00407EE1">
              <w:rPr>
                <w:rFonts w:ascii="Lato" w:hAnsi="Lato"/>
                <w:b/>
                <w:sz w:val="18"/>
                <w:szCs w:val="18"/>
              </w:rPr>
              <w:t>PAYE workers</w:t>
            </w:r>
          </w:p>
        </w:tc>
        <w:tc>
          <w:tcPr>
            <w:tcW w:w="1407" w:type="dxa"/>
            <w:shd w:val="clear" w:color="auto" w:fill="BCC7ED" w:themeFill="background1" w:themeFillTint="66"/>
          </w:tcPr>
          <w:p w14:paraId="510A5893" w14:textId="77777777" w:rsidR="00EF666F" w:rsidRPr="00407EE1" w:rsidRDefault="00EF666F" w:rsidP="00607C40">
            <w:pPr>
              <w:rPr>
                <w:rFonts w:ascii="Lato" w:hAnsi="Lato"/>
                <w:b/>
                <w:bCs/>
                <w:sz w:val="18"/>
                <w:szCs w:val="18"/>
              </w:rPr>
            </w:pPr>
            <w:r w:rsidRPr="00407EE1">
              <w:rPr>
                <w:rFonts w:ascii="Lato" w:hAnsi="Lato"/>
                <w:b/>
                <w:sz w:val="18"/>
                <w:szCs w:val="18"/>
              </w:rPr>
              <w:t>Umbrella workers</w:t>
            </w:r>
          </w:p>
        </w:tc>
        <w:tc>
          <w:tcPr>
            <w:tcW w:w="1407" w:type="dxa"/>
            <w:shd w:val="clear" w:color="auto" w:fill="BCC7ED" w:themeFill="background1" w:themeFillTint="66"/>
          </w:tcPr>
          <w:p w14:paraId="14F4D220" w14:textId="77777777" w:rsidR="00EF666F" w:rsidRPr="00407EE1" w:rsidRDefault="00EF666F" w:rsidP="00607C40">
            <w:pPr>
              <w:rPr>
                <w:rFonts w:ascii="Lato" w:hAnsi="Lato"/>
                <w:b/>
                <w:bCs/>
                <w:sz w:val="18"/>
                <w:szCs w:val="18"/>
              </w:rPr>
            </w:pPr>
            <w:r w:rsidRPr="00407EE1">
              <w:rPr>
                <w:rFonts w:ascii="Lato" w:hAnsi="Lato"/>
                <w:b/>
                <w:sz w:val="18"/>
                <w:szCs w:val="18"/>
              </w:rPr>
              <w:t>PSC inside IR35</w:t>
            </w:r>
          </w:p>
        </w:tc>
        <w:tc>
          <w:tcPr>
            <w:tcW w:w="1407" w:type="dxa"/>
            <w:shd w:val="clear" w:color="auto" w:fill="BCC7ED" w:themeFill="background1" w:themeFillTint="66"/>
          </w:tcPr>
          <w:p w14:paraId="0F2DDD7C" w14:textId="77777777" w:rsidR="00EF666F" w:rsidRPr="00407EE1" w:rsidRDefault="00EF666F" w:rsidP="00607C40">
            <w:pPr>
              <w:rPr>
                <w:rFonts w:ascii="Lato" w:hAnsi="Lato"/>
                <w:b/>
                <w:bCs/>
                <w:sz w:val="18"/>
                <w:szCs w:val="18"/>
              </w:rPr>
            </w:pPr>
            <w:r w:rsidRPr="00407EE1">
              <w:rPr>
                <w:rFonts w:ascii="Lato" w:hAnsi="Lato"/>
                <w:b/>
                <w:sz w:val="18"/>
                <w:szCs w:val="18"/>
              </w:rPr>
              <w:t>PSC outside IR35</w:t>
            </w:r>
          </w:p>
        </w:tc>
      </w:tr>
      <w:tr w:rsidR="00EF666F" w:rsidRPr="00DE7AFA" w14:paraId="1BC6A72A" w14:textId="77777777" w:rsidTr="00607C40">
        <w:tc>
          <w:tcPr>
            <w:tcW w:w="9356" w:type="dxa"/>
            <w:gridSpan w:val="5"/>
            <w:shd w:val="clear" w:color="auto" w:fill="DDE2F6" w:themeFill="background1" w:themeFillTint="33"/>
          </w:tcPr>
          <w:p w14:paraId="4576268C" w14:textId="77777777" w:rsidR="00EF666F" w:rsidRDefault="00EF666F" w:rsidP="00607C40">
            <w:pPr>
              <w:rPr>
                <w:rFonts w:ascii="Lato" w:hAnsi="Lato"/>
                <w:b/>
                <w:bCs/>
                <w:sz w:val="18"/>
                <w:szCs w:val="18"/>
              </w:rPr>
            </w:pPr>
            <w:r w:rsidRPr="00407EE1">
              <w:rPr>
                <w:rFonts w:ascii="Lato" w:hAnsi="Lato"/>
                <w:b/>
                <w:sz w:val="18"/>
                <w:szCs w:val="18"/>
              </w:rPr>
              <w:t xml:space="preserve">Clients who </w:t>
            </w:r>
            <w:r w:rsidRPr="00407EE1">
              <w:rPr>
                <w:rFonts w:ascii="Lato" w:hAnsi="Lato"/>
                <w:b/>
                <w:sz w:val="18"/>
                <w:szCs w:val="18"/>
                <w:u w:val="single"/>
              </w:rPr>
              <w:t>are</w:t>
            </w:r>
            <w:r w:rsidRPr="00407EE1">
              <w:rPr>
                <w:rFonts w:ascii="Lato" w:hAnsi="Lato"/>
                <w:b/>
                <w:sz w:val="18"/>
                <w:szCs w:val="18"/>
              </w:rPr>
              <w:t xml:space="preserve"> exempt from the off-payroll rules</w:t>
            </w:r>
          </w:p>
          <w:p w14:paraId="60B1B055" w14:textId="77777777" w:rsidR="00EF666F" w:rsidRPr="00407EE1" w:rsidRDefault="00EF666F" w:rsidP="00607C40">
            <w:pPr>
              <w:rPr>
                <w:rFonts w:ascii="Lato" w:hAnsi="Lato"/>
                <w:sz w:val="18"/>
                <w:szCs w:val="18"/>
              </w:rPr>
            </w:pPr>
          </w:p>
        </w:tc>
      </w:tr>
      <w:tr w:rsidR="00EF666F" w:rsidRPr="00DE7AFA" w14:paraId="60E5BC4E" w14:textId="77777777" w:rsidTr="00607C40">
        <w:tc>
          <w:tcPr>
            <w:tcW w:w="3728" w:type="dxa"/>
          </w:tcPr>
          <w:p w14:paraId="2F07BA85" w14:textId="77777777" w:rsidR="00EF666F" w:rsidRDefault="00EF666F" w:rsidP="00607C40">
            <w:pPr>
              <w:rPr>
                <w:rFonts w:ascii="Lato" w:hAnsi="Lato"/>
                <w:sz w:val="18"/>
                <w:szCs w:val="18"/>
              </w:rPr>
            </w:pPr>
            <w:r w:rsidRPr="00407EE1">
              <w:rPr>
                <w:rFonts w:ascii="Lato" w:hAnsi="Lato"/>
                <w:sz w:val="18"/>
                <w:szCs w:val="18"/>
              </w:rPr>
              <w:t xml:space="preserve">NEW Contract 3B </w:t>
            </w:r>
          </w:p>
          <w:p w14:paraId="568B4600" w14:textId="77777777" w:rsidR="00EF666F" w:rsidRPr="00407EE1" w:rsidRDefault="00EF666F" w:rsidP="00607C40">
            <w:pPr>
              <w:rPr>
                <w:rFonts w:ascii="Lato" w:hAnsi="Lato"/>
                <w:sz w:val="18"/>
                <w:szCs w:val="18"/>
              </w:rPr>
            </w:pPr>
            <w:r>
              <w:rPr>
                <w:rFonts w:ascii="Lato" w:hAnsi="Lato"/>
                <w:sz w:val="18"/>
                <w:szCs w:val="18"/>
              </w:rPr>
              <w:t>(</w:t>
            </w:r>
            <w:r w:rsidRPr="00407EE1">
              <w:rPr>
                <w:rFonts w:ascii="Lato" w:hAnsi="Lato"/>
                <w:sz w:val="18"/>
                <w:szCs w:val="18"/>
              </w:rPr>
              <w:t>combined terms for the supply of PAYE workers, umbrella company workers and PSCs</w:t>
            </w:r>
            <w:r>
              <w:rPr>
                <w:rFonts w:ascii="Lato" w:hAnsi="Lato"/>
                <w:sz w:val="18"/>
                <w:szCs w:val="18"/>
              </w:rPr>
              <w:t xml:space="preserve">) </w:t>
            </w:r>
          </w:p>
        </w:tc>
        <w:tc>
          <w:tcPr>
            <w:tcW w:w="1407" w:type="dxa"/>
          </w:tcPr>
          <w:p w14:paraId="380944FE" w14:textId="77777777" w:rsidR="00EF666F" w:rsidRPr="00407EE1" w:rsidRDefault="00EF666F" w:rsidP="00607C40">
            <w:pPr>
              <w:rPr>
                <w:rFonts w:ascii="Lato" w:hAnsi="Lato"/>
                <w:sz w:val="18"/>
                <w:szCs w:val="18"/>
              </w:rPr>
            </w:pPr>
            <w:r w:rsidRPr="00407EE1">
              <w:rPr>
                <w:rFonts w:ascii="Lato" w:hAnsi="Lato"/>
                <w:sz w:val="18"/>
                <w:szCs w:val="18"/>
              </w:rPr>
              <w:t>√</w:t>
            </w:r>
          </w:p>
        </w:tc>
        <w:tc>
          <w:tcPr>
            <w:tcW w:w="1407" w:type="dxa"/>
          </w:tcPr>
          <w:p w14:paraId="56A899B1" w14:textId="77777777" w:rsidR="00EF666F" w:rsidRPr="00407EE1" w:rsidRDefault="00EF666F" w:rsidP="00607C40">
            <w:pPr>
              <w:rPr>
                <w:rFonts w:ascii="Lato" w:hAnsi="Lato"/>
                <w:sz w:val="18"/>
                <w:szCs w:val="18"/>
              </w:rPr>
            </w:pPr>
            <w:r w:rsidRPr="00407EE1">
              <w:rPr>
                <w:rFonts w:ascii="Lato" w:hAnsi="Lato"/>
                <w:sz w:val="18"/>
                <w:szCs w:val="18"/>
              </w:rPr>
              <w:t>√</w:t>
            </w:r>
          </w:p>
          <w:p w14:paraId="1D1CF7D7" w14:textId="77777777" w:rsidR="00EF666F" w:rsidRPr="00407EE1" w:rsidRDefault="00EF666F" w:rsidP="00607C40">
            <w:pPr>
              <w:rPr>
                <w:rFonts w:ascii="Lato" w:hAnsi="Lato"/>
                <w:sz w:val="18"/>
                <w:szCs w:val="18"/>
              </w:rPr>
            </w:pPr>
          </w:p>
          <w:p w14:paraId="7B5CB317" w14:textId="77777777" w:rsidR="00EF666F" w:rsidRPr="00407EE1" w:rsidRDefault="00EF666F" w:rsidP="00607C40">
            <w:pPr>
              <w:rPr>
                <w:rFonts w:ascii="Lato" w:hAnsi="Lato"/>
                <w:sz w:val="18"/>
                <w:szCs w:val="18"/>
              </w:rPr>
            </w:pPr>
            <w:r w:rsidRPr="00407EE1">
              <w:rPr>
                <w:rFonts w:ascii="Lato" w:hAnsi="Lato"/>
                <w:sz w:val="18"/>
                <w:szCs w:val="18"/>
              </w:rPr>
              <w:t>Contract 4A</w:t>
            </w:r>
          </w:p>
          <w:p w14:paraId="2E4F7E34" w14:textId="77777777" w:rsidR="00EF666F" w:rsidRDefault="00EF666F" w:rsidP="00607C40">
            <w:pPr>
              <w:rPr>
                <w:rFonts w:ascii="Lato" w:hAnsi="Lato"/>
                <w:sz w:val="18"/>
                <w:szCs w:val="18"/>
              </w:rPr>
            </w:pPr>
            <w:r w:rsidRPr="00407EE1">
              <w:rPr>
                <w:rFonts w:ascii="Lato" w:hAnsi="Lato"/>
                <w:sz w:val="18"/>
                <w:szCs w:val="18"/>
              </w:rPr>
              <w:t>(non-opted out and opted out combined)</w:t>
            </w:r>
          </w:p>
          <w:p w14:paraId="3AA96CAE" w14:textId="77777777" w:rsidR="00EF666F" w:rsidRPr="00407EE1" w:rsidRDefault="00EF666F" w:rsidP="00607C40">
            <w:pPr>
              <w:rPr>
                <w:rFonts w:ascii="Lato" w:hAnsi="Lato"/>
                <w:sz w:val="18"/>
                <w:szCs w:val="18"/>
              </w:rPr>
            </w:pPr>
          </w:p>
        </w:tc>
        <w:tc>
          <w:tcPr>
            <w:tcW w:w="1407" w:type="dxa"/>
            <w:shd w:val="clear" w:color="auto" w:fill="DDE2F6" w:themeFill="background1" w:themeFillTint="33"/>
          </w:tcPr>
          <w:p w14:paraId="10BB163F" w14:textId="77777777" w:rsidR="00EF666F" w:rsidRPr="00407EE1" w:rsidRDefault="00EF666F" w:rsidP="00607C40">
            <w:pPr>
              <w:rPr>
                <w:rFonts w:ascii="Lato" w:hAnsi="Lato"/>
                <w:color w:val="FF0000"/>
                <w:sz w:val="18"/>
                <w:szCs w:val="18"/>
              </w:rPr>
            </w:pPr>
          </w:p>
        </w:tc>
        <w:tc>
          <w:tcPr>
            <w:tcW w:w="1407" w:type="dxa"/>
          </w:tcPr>
          <w:p w14:paraId="745129DA" w14:textId="77777777" w:rsidR="00EF666F" w:rsidRPr="00407EE1" w:rsidRDefault="00EF666F" w:rsidP="00607C40">
            <w:pPr>
              <w:rPr>
                <w:rFonts w:ascii="Lato" w:hAnsi="Lato"/>
                <w:sz w:val="18"/>
                <w:szCs w:val="18"/>
              </w:rPr>
            </w:pPr>
            <w:r w:rsidRPr="00407EE1">
              <w:rPr>
                <w:rFonts w:ascii="Lato" w:hAnsi="Lato"/>
                <w:sz w:val="18"/>
                <w:szCs w:val="18"/>
              </w:rPr>
              <w:t>√</w:t>
            </w:r>
          </w:p>
          <w:p w14:paraId="68BF8E86" w14:textId="77777777" w:rsidR="00EF666F" w:rsidRPr="00407EE1" w:rsidRDefault="00EF666F" w:rsidP="00607C40">
            <w:pPr>
              <w:rPr>
                <w:rFonts w:ascii="Lato" w:hAnsi="Lato"/>
                <w:sz w:val="18"/>
                <w:szCs w:val="18"/>
              </w:rPr>
            </w:pPr>
          </w:p>
          <w:p w14:paraId="17CB8E1D" w14:textId="77777777" w:rsidR="00EF666F" w:rsidRPr="00407EE1" w:rsidRDefault="00EF666F" w:rsidP="00607C40">
            <w:pPr>
              <w:rPr>
                <w:rFonts w:ascii="Lato" w:hAnsi="Lato"/>
                <w:sz w:val="18"/>
                <w:szCs w:val="18"/>
              </w:rPr>
            </w:pPr>
            <w:r w:rsidRPr="00407EE1">
              <w:rPr>
                <w:rFonts w:ascii="Lato" w:hAnsi="Lato"/>
                <w:sz w:val="18"/>
                <w:szCs w:val="18"/>
              </w:rPr>
              <w:t>Contract 4D</w:t>
            </w:r>
          </w:p>
          <w:p w14:paraId="7717A36E" w14:textId="77777777" w:rsidR="00EF666F" w:rsidRPr="00407EE1" w:rsidRDefault="00EF666F" w:rsidP="00607C40">
            <w:pPr>
              <w:rPr>
                <w:rFonts w:ascii="Lato" w:hAnsi="Lato"/>
                <w:sz w:val="18"/>
                <w:szCs w:val="18"/>
              </w:rPr>
            </w:pPr>
            <w:r w:rsidRPr="00407EE1">
              <w:rPr>
                <w:rFonts w:ascii="Lato" w:hAnsi="Lato"/>
                <w:sz w:val="18"/>
                <w:szCs w:val="18"/>
              </w:rPr>
              <w:t>(opted out only)</w:t>
            </w:r>
          </w:p>
        </w:tc>
      </w:tr>
      <w:tr w:rsidR="00EF666F" w:rsidRPr="00DE7AFA" w14:paraId="5317D65E" w14:textId="77777777" w:rsidTr="00607C40">
        <w:tc>
          <w:tcPr>
            <w:tcW w:w="3728" w:type="dxa"/>
          </w:tcPr>
          <w:p w14:paraId="6875D43A" w14:textId="77777777" w:rsidR="00EF666F" w:rsidRPr="00407EE1" w:rsidRDefault="00EF666F" w:rsidP="00607C40">
            <w:pPr>
              <w:rPr>
                <w:rFonts w:ascii="Lato" w:hAnsi="Lato"/>
                <w:sz w:val="18"/>
                <w:szCs w:val="18"/>
              </w:rPr>
            </w:pPr>
            <w:r w:rsidRPr="00407EE1">
              <w:rPr>
                <w:rFonts w:ascii="Lato" w:hAnsi="Lato"/>
                <w:sz w:val="18"/>
                <w:szCs w:val="18"/>
              </w:rPr>
              <w:t xml:space="preserve">NEW Contract 3D </w:t>
            </w:r>
          </w:p>
          <w:p w14:paraId="0B5B9163" w14:textId="77777777" w:rsidR="00EF666F" w:rsidRPr="00407EE1" w:rsidRDefault="00EF666F" w:rsidP="00607C40">
            <w:pPr>
              <w:rPr>
                <w:rFonts w:ascii="Lato" w:hAnsi="Lato"/>
                <w:sz w:val="18"/>
                <w:szCs w:val="18"/>
              </w:rPr>
            </w:pPr>
            <w:r w:rsidRPr="00407EE1">
              <w:rPr>
                <w:rFonts w:ascii="Lato" w:hAnsi="Lato"/>
                <w:sz w:val="18"/>
                <w:szCs w:val="18"/>
              </w:rPr>
              <w:t>(</w:t>
            </w:r>
            <w:r>
              <w:rPr>
                <w:rFonts w:ascii="Lato" w:hAnsi="Lato"/>
                <w:sz w:val="18"/>
                <w:szCs w:val="18"/>
              </w:rPr>
              <w:t xml:space="preserve">for the supply of </w:t>
            </w:r>
            <w:r w:rsidRPr="00407EE1">
              <w:rPr>
                <w:rFonts w:ascii="Lato" w:hAnsi="Lato"/>
                <w:sz w:val="18"/>
                <w:szCs w:val="18"/>
              </w:rPr>
              <w:t>PSC</w:t>
            </w:r>
            <w:r>
              <w:rPr>
                <w:rFonts w:ascii="Lato" w:hAnsi="Lato"/>
                <w:sz w:val="18"/>
                <w:szCs w:val="18"/>
              </w:rPr>
              <w:t>s</w:t>
            </w:r>
            <w:r w:rsidRPr="00407EE1">
              <w:rPr>
                <w:rFonts w:ascii="Lato" w:hAnsi="Lato"/>
                <w:sz w:val="18"/>
                <w:szCs w:val="18"/>
              </w:rPr>
              <w:t xml:space="preserve"> only) </w:t>
            </w:r>
          </w:p>
          <w:p w14:paraId="52E52E0C" w14:textId="77777777" w:rsidR="00EF666F" w:rsidRPr="00407EE1" w:rsidRDefault="00EF666F" w:rsidP="00607C40">
            <w:pPr>
              <w:rPr>
                <w:rFonts w:ascii="Lato" w:hAnsi="Lato"/>
                <w:sz w:val="18"/>
                <w:szCs w:val="18"/>
              </w:rPr>
            </w:pPr>
          </w:p>
        </w:tc>
        <w:tc>
          <w:tcPr>
            <w:tcW w:w="1407" w:type="dxa"/>
            <w:shd w:val="clear" w:color="auto" w:fill="DDE2F6" w:themeFill="background1" w:themeFillTint="33"/>
          </w:tcPr>
          <w:p w14:paraId="3D246D35" w14:textId="77777777" w:rsidR="00EF666F" w:rsidRPr="00407EE1" w:rsidRDefault="00EF666F" w:rsidP="00607C40">
            <w:pPr>
              <w:rPr>
                <w:rFonts w:ascii="Lato" w:hAnsi="Lato"/>
                <w:sz w:val="18"/>
                <w:szCs w:val="18"/>
              </w:rPr>
            </w:pPr>
          </w:p>
        </w:tc>
        <w:tc>
          <w:tcPr>
            <w:tcW w:w="1407" w:type="dxa"/>
            <w:shd w:val="clear" w:color="auto" w:fill="DDE2F6" w:themeFill="background1" w:themeFillTint="33"/>
          </w:tcPr>
          <w:p w14:paraId="397E64D8" w14:textId="77777777" w:rsidR="00EF666F" w:rsidRPr="00407EE1" w:rsidRDefault="00EF666F" w:rsidP="00607C40">
            <w:pPr>
              <w:rPr>
                <w:rFonts w:ascii="Lato" w:hAnsi="Lato"/>
                <w:sz w:val="18"/>
                <w:szCs w:val="18"/>
              </w:rPr>
            </w:pPr>
          </w:p>
        </w:tc>
        <w:tc>
          <w:tcPr>
            <w:tcW w:w="1407" w:type="dxa"/>
            <w:shd w:val="clear" w:color="auto" w:fill="DDE2F6" w:themeFill="background1" w:themeFillTint="33"/>
          </w:tcPr>
          <w:p w14:paraId="40EF7D19" w14:textId="77777777" w:rsidR="00EF666F" w:rsidRPr="00407EE1" w:rsidRDefault="00EF666F" w:rsidP="00607C40">
            <w:pPr>
              <w:rPr>
                <w:rFonts w:ascii="Lato" w:hAnsi="Lato"/>
                <w:sz w:val="18"/>
                <w:szCs w:val="18"/>
              </w:rPr>
            </w:pPr>
          </w:p>
        </w:tc>
        <w:tc>
          <w:tcPr>
            <w:tcW w:w="1407" w:type="dxa"/>
          </w:tcPr>
          <w:p w14:paraId="3E9EFEA0" w14:textId="77777777" w:rsidR="00EF666F" w:rsidRPr="00407EE1" w:rsidRDefault="00EF666F" w:rsidP="00607C40">
            <w:pPr>
              <w:rPr>
                <w:rFonts w:ascii="Lato" w:hAnsi="Lato"/>
                <w:sz w:val="18"/>
                <w:szCs w:val="18"/>
              </w:rPr>
            </w:pPr>
            <w:r w:rsidRPr="00407EE1">
              <w:rPr>
                <w:rFonts w:ascii="Lato" w:hAnsi="Lato"/>
                <w:sz w:val="18"/>
                <w:szCs w:val="18"/>
              </w:rPr>
              <w:t>√</w:t>
            </w:r>
          </w:p>
          <w:p w14:paraId="749B1218" w14:textId="77777777" w:rsidR="00EF666F" w:rsidRPr="00407EE1" w:rsidRDefault="00EF666F" w:rsidP="00607C40">
            <w:pPr>
              <w:rPr>
                <w:rFonts w:ascii="Lato" w:hAnsi="Lato"/>
                <w:sz w:val="18"/>
                <w:szCs w:val="18"/>
              </w:rPr>
            </w:pPr>
          </w:p>
          <w:p w14:paraId="7C1217FA" w14:textId="77777777" w:rsidR="00EF666F" w:rsidRPr="00407EE1" w:rsidRDefault="00EF666F" w:rsidP="00607C40">
            <w:pPr>
              <w:rPr>
                <w:rFonts w:ascii="Lato" w:hAnsi="Lato"/>
                <w:sz w:val="18"/>
                <w:szCs w:val="18"/>
              </w:rPr>
            </w:pPr>
            <w:r w:rsidRPr="00407EE1">
              <w:rPr>
                <w:rFonts w:ascii="Lato" w:hAnsi="Lato"/>
                <w:sz w:val="18"/>
                <w:szCs w:val="18"/>
              </w:rPr>
              <w:t>Contract 4D</w:t>
            </w:r>
          </w:p>
          <w:p w14:paraId="5D2EDC5C" w14:textId="77777777" w:rsidR="00EF666F" w:rsidRPr="00407EE1" w:rsidRDefault="00EF666F" w:rsidP="00607C40">
            <w:pPr>
              <w:rPr>
                <w:rFonts w:ascii="Lato" w:hAnsi="Lato"/>
                <w:sz w:val="18"/>
                <w:szCs w:val="18"/>
              </w:rPr>
            </w:pPr>
            <w:r w:rsidRPr="00407EE1">
              <w:rPr>
                <w:rFonts w:ascii="Lato" w:hAnsi="Lato"/>
                <w:sz w:val="18"/>
                <w:szCs w:val="18"/>
              </w:rPr>
              <w:t>(opted out only)</w:t>
            </w:r>
          </w:p>
          <w:p w14:paraId="69C8B014" w14:textId="77777777" w:rsidR="00EF666F" w:rsidRPr="00407EE1" w:rsidRDefault="00EF666F" w:rsidP="00607C40">
            <w:pPr>
              <w:rPr>
                <w:rFonts w:ascii="Lato" w:hAnsi="Lato"/>
                <w:sz w:val="18"/>
                <w:szCs w:val="18"/>
              </w:rPr>
            </w:pPr>
          </w:p>
        </w:tc>
      </w:tr>
    </w:tbl>
    <w:p w14:paraId="5487AB97" w14:textId="77777777" w:rsidR="00EF666F" w:rsidRDefault="00EF666F" w:rsidP="00EF666F">
      <w:pPr>
        <w:rPr>
          <w:rFonts w:ascii="Lato" w:hAnsi="Lato"/>
          <w:szCs w:val="20"/>
        </w:rPr>
      </w:pPr>
    </w:p>
    <w:p w14:paraId="73CE98B8" w14:textId="77777777" w:rsidR="00EF666F" w:rsidRDefault="00EF666F" w:rsidP="00EF666F">
      <w:pPr>
        <w:spacing w:after="0" w:line="240" w:lineRule="auto"/>
        <w:rPr>
          <w:rFonts w:ascii="Lato" w:hAnsi="Lato"/>
          <w:sz w:val="20"/>
          <w:szCs w:val="20"/>
        </w:rPr>
      </w:pPr>
      <w:r w:rsidRPr="00C410EB">
        <w:rPr>
          <w:rFonts w:ascii="Lato" w:hAnsi="Lato"/>
          <w:sz w:val="20"/>
          <w:szCs w:val="20"/>
        </w:rPr>
        <w:t xml:space="preserve">In the table above, "opted out" and "non-opted out" refer to the Conduct Regulations which limited company contractors can opt out of provided they do not work with under 18s or vulnerable people.  </w:t>
      </w:r>
    </w:p>
    <w:p w14:paraId="57C5B504" w14:textId="77777777" w:rsidR="00EF666F" w:rsidRDefault="00EF666F" w:rsidP="00EF666F">
      <w:pPr>
        <w:spacing w:after="0" w:line="240" w:lineRule="auto"/>
        <w:rPr>
          <w:rFonts w:ascii="Lato" w:hAnsi="Lato"/>
          <w:szCs w:val="20"/>
        </w:rPr>
      </w:pPr>
    </w:p>
    <w:p w14:paraId="56BE4320" w14:textId="0464A4B5" w:rsidR="00EF666F" w:rsidRPr="00241FA4" w:rsidRDefault="00EF666F" w:rsidP="00EF666F">
      <w:pPr>
        <w:pStyle w:val="IntroductionTitle"/>
        <w:spacing w:before="0" w:after="0" w:line="240" w:lineRule="auto"/>
        <w:rPr>
          <w:sz w:val="28"/>
          <w:szCs w:val="28"/>
        </w:rPr>
      </w:pPr>
      <w:r w:rsidRPr="00241FA4">
        <w:rPr>
          <w:sz w:val="28"/>
          <w:szCs w:val="28"/>
        </w:rPr>
        <w:t xml:space="preserve">When to </w:t>
      </w:r>
      <w:r w:rsidR="004303E8">
        <w:rPr>
          <w:sz w:val="28"/>
          <w:szCs w:val="28"/>
        </w:rPr>
        <w:t xml:space="preserve">use these </w:t>
      </w:r>
      <w:r w:rsidRPr="00241FA4">
        <w:rPr>
          <w:sz w:val="28"/>
          <w:szCs w:val="28"/>
        </w:rPr>
        <w:t xml:space="preserve">contracts? </w:t>
      </w:r>
    </w:p>
    <w:p w14:paraId="5C22194F" w14:textId="77777777" w:rsidR="00EF666F" w:rsidRDefault="00EF666F" w:rsidP="00EF666F">
      <w:pPr>
        <w:pStyle w:val="BodyText"/>
        <w:rPr>
          <w:bCs/>
        </w:rPr>
      </w:pPr>
    </w:p>
    <w:p w14:paraId="4B95E136" w14:textId="77777777" w:rsidR="00EF666F" w:rsidRPr="00241FA4" w:rsidRDefault="00EF666F" w:rsidP="00EF666F">
      <w:pPr>
        <w:pStyle w:val="BodyText"/>
        <w:rPr>
          <w:b/>
          <w:bCs/>
        </w:rPr>
      </w:pPr>
    </w:p>
    <w:p w14:paraId="4FEDBFFD" w14:textId="7B09D5DB" w:rsidR="00EF666F" w:rsidRPr="00241FA4" w:rsidRDefault="00E45140" w:rsidP="00EF666F">
      <w:pPr>
        <w:pStyle w:val="BodyText"/>
        <w:rPr>
          <w:b/>
          <w:bCs/>
        </w:rPr>
      </w:pPr>
      <w:r>
        <w:rPr>
          <w:bCs/>
        </w:rPr>
        <w:t xml:space="preserve">The contract you use </w:t>
      </w:r>
      <w:r w:rsidR="00EF666F" w:rsidRPr="00241FA4">
        <w:rPr>
          <w:bCs/>
        </w:rPr>
        <w:t xml:space="preserve">will depend on the types of temporary workers you supply, the clients that you have and the tax status decisions they make (when they have to make those decisions).  </w:t>
      </w:r>
    </w:p>
    <w:p w14:paraId="6EEB31E9" w14:textId="77777777" w:rsidR="00EF666F" w:rsidRPr="00241FA4" w:rsidRDefault="00EF666F" w:rsidP="00EF666F">
      <w:pPr>
        <w:pStyle w:val="BodyText"/>
        <w:rPr>
          <w:b/>
          <w:bCs/>
        </w:rPr>
      </w:pPr>
    </w:p>
    <w:p w14:paraId="4FE6B227" w14:textId="77777777" w:rsidR="00EF666F" w:rsidRPr="00241FA4" w:rsidRDefault="00EF666F" w:rsidP="00EF666F">
      <w:pPr>
        <w:pStyle w:val="BodyText"/>
        <w:rPr>
          <w:b/>
          <w:bCs/>
          <w:color w:val="5974D4" w:themeColor="background1"/>
        </w:rPr>
      </w:pPr>
      <w:r w:rsidRPr="00241FA4">
        <w:rPr>
          <w:bCs/>
          <w:color w:val="5974D4" w:themeColor="background1"/>
        </w:rPr>
        <w:t xml:space="preserve">Clients which </w:t>
      </w:r>
      <w:r w:rsidRPr="00241FA4">
        <w:rPr>
          <w:bCs/>
          <w:color w:val="5974D4" w:themeColor="background1"/>
          <w:u w:val="single"/>
        </w:rPr>
        <w:t xml:space="preserve">are </w:t>
      </w:r>
      <w:r w:rsidRPr="00241FA4">
        <w:rPr>
          <w:bCs/>
          <w:color w:val="5974D4" w:themeColor="background1"/>
        </w:rPr>
        <w:t xml:space="preserve">exempt from the off-payroll rules: </w:t>
      </w:r>
    </w:p>
    <w:p w14:paraId="604D5B68" w14:textId="5EA04C67" w:rsidR="00EF666F" w:rsidRPr="00172F4D" w:rsidRDefault="002E063B" w:rsidP="00EF666F">
      <w:pPr>
        <w:pStyle w:val="BodyText"/>
      </w:pPr>
      <w:r>
        <w:rPr>
          <w:bCs/>
        </w:rPr>
        <w:t>Y</w:t>
      </w:r>
      <w:r w:rsidRPr="00241FA4">
        <w:rPr>
          <w:bCs/>
        </w:rPr>
        <w:t>ou</w:t>
      </w:r>
      <w:r>
        <w:rPr>
          <w:bCs/>
        </w:rPr>
        <w:t xml:space="preserve"> c</w:t>
      </w:r>
      <w:r w:rsidRPr="00241FA4">
        <w:rPr>
          <w:bCs/>
        </w:rPr>
        <w:t>an</w:t>
      </w:r>
      <w:r w:rsidR="00EF666F" w:rsidRPr="00241FA4">
        <w:rPr>
          <w:bCs/>
        </w:rPr>
        <w:t xml:space="preserve"> </w:t>
      </w:r>
      <w:r>
        <w:rPr>
          <w:bCs/>
        </w:rPr>
        <w:t xml:space="preserve">use </w:t>
      </w:r>
      <w:r w:rsidR="00EF666F" w:rsidRPr="00241FA4">
        <w:rPr>
          <w:bCs/>
        </w:rPr>
        <w:t xml:space="preserve">contracts 3B, 3D and 4D when you know that your private sector client </w:t>
      </w:r>
      <w:r>
        <w:rPr>
          <w:bCs/>
        </w:rPr>
        <w:t xml:space="preserve">is </w:t>
      </w:r>
      <w:r w:rsidR="00EF666F" w:rsidRPr="00241FA4">
        <w:rPr>
          <w:bCs/>
        </w:rPr>
        <w:t>exempt from the off-payroll rules (</w:t>
      </w:r>
      <w:r w:rsidR="00EF666F" w:rsidRPr="00241FA4">
        <w:rPr>
          <w:bCs/>
          <w:lang w:eastAsia="en-GB"/>
        </w:rPr>
        <w:t>use the</w:t>
      </w:r>
      <w:r w:rsidR="00EF666F">
        <w:rPr>
          <w:bCs/>
          <w:lang w:eastAsia="en-GB"/>
        </w:rPr>
        <w:t xml:space="preserve"> </w:t>
      </w:r>
      <w:hyperlink r:id="rId10" w:history="1">
        <w:r w:rsidR="00EF666F" w:rsidRPr="002E41CE">
          <w:rPr>
            <w:rStyle w:val="Hyperlink"/>
            <w:color w:val="36BEAE"/>
            <w:lang w:eastAsia="en-GB"/>
          </w:rPr>
          <w:t>exempt company declaration form</w:t>
        </w:r>
      </w:hyperlink>
      <w:r w:rsidR="00EF666F">
        <w:rPr>
          <w:rStyle w:val="Hyperlink"/>
          <w:color w:val="36BEAE"/>
          <w:lang w:eastAsia="en-GB"/>
        </w:rPr>
        <w:t xml:space="preserve"> </w:t>
      </w:r>
      <w:r w:rsidR="00EF666F" w:rsidRPr="00241FA4">
        <w:rPr>
          <w:bCs/>
          <w:lang w:eastAsia="en-GB"/>
        </w:rPr>
        <w:t>to ask the client about its status</w:t>
      </w:r>
      <w:r w:rsidR="00EF666F" w:rsidRPr="00241FA4">
        <w:rPr>
          <w:bCs/>
        </w:rPr>
        <w:t xml:space="preserve">).  When the client is exempt, it will not have to make a </w:t>
      </w:r>
      <w:proofErr w:type="spellStart"/>
      <w:r w:rsidR="00EF666F" w:rsidRPr="00241FA4">
        <w:rPr>
          <w:bCs/>
        </w:rPr>
        <w:t>SDS</w:t>
      </w:r>
      <w:proofErr w:type="spellEnd"/>
      <w:r w:rsidR="00EF666F" w:rsidRPr="00241FA4">
        <w:rPr>
          <w:bCs/>
        </w:rPr>
        <w:t xml:space="preserve"> and you will not have any fee-payer obligations.  .</w:t>
      </w:r>
    </w:p>
    <w:p w14:paraId="2258AC95" w14:textId="77777777" w:rsidR="00EF666F" w:rsidRDefault="00EF666F" w:rsidP="00041507">
      <w:pPr>
        <w:pStyle w:val="BodyText"/>
      </w:pPr>
    </w:p>
    <w:p w14:paraId="22BF7596" w14:textId="43202D96" w:rsidR="005E361C" w:rsidRPr="00EF666F" w:rsidRDefault="005E361C" w:rsidP="00374E6F">
      <w:pPr>
        <w:pStyle w:val="Heading2"/>
        <w:numPr>
          <w:ilvl w:val="0"/>
          <w:numId w:val="0"/>
        </w:numPr>
        <w:ind w:left="576" w:hanging="576"/>
        <w:rPr>
          <w:szCs w:val="28"/>
        </w:rPr>
      </w:pPr>
      <w:r w:rsidRPr="00EF666F">
        <w:rPr>
          <w:szCs w:val="28"/>
        </w:rPr>
        <w:t>The Conduct Regulations</w:t>
      </w:r>
    </w:p>
    <w:p w14:paraId="3AF81B22" w14:textId="145CFE82" w:rsidR="00AB5EB4" w:rsidRDefault="00AB5EB4" w:rsidP="00B2649F">
      <w:pPr>
        <w:pStyle w:val="BodyText"/>
      </w:pPr>
      <w:r w:rsidRPr="00FE1620">
        <w:rPr>
          <w:bCs/>
        </w:rPr>
        <w:t>The Conduct of Employment Agencies and Employment Businesses Regulations 200</w:t>
      </w:r>
      <w:r w:rsidRPr="00FB0ADA">
        <w:rPr>
          <w:bCs/>
        </w:rPr>
        <w:t>3</w:t>
      </w:r>
      <w:r w:rsidRPr="00491EE3">
        <w:rPr>
          <w:bCs/>
        </w:rPr>
        <w:t xml:space="preserve"> (</w:t>
      </w:r>
      <w:r w:rsidRPr="00FB0ADA">
        <w:rPr>
          <w:bCs/>
        </w:rPr>
        <w:t>t</w:t>
      </w:r>
      <w:r w:rsidRPr="00CD127A">
        <w:t>he Conduct Regulations</w:t>
      </w:r>
      <w:r>
        <w:t>)</w:t>
      </w:r>
      <w:r w:rsidRPr="00CD127A">
        <w:t xml:space="preserve"> apply by default</w:t>
      </w:r>
      <w:r>
        <w:t xml:space="preserve"> to these terms of business</w:t>
      </w:r>
      <w:r w:rsidRPr="00CD127A">
        <w:t xml:space="preserve"> </w:t>
      </w:r>
      <w:r w:rsidRPr="00CD127A">
        <w:rPr>
          <w:u w:val="single"/>
        </w:rPr>
        <w:t>unless</w:t>
      </w:r>
      <w:r w:rsidRPr="00CD127A">
        <w:t xml:space="preserve"> a </w:t>
      </w:r>
      <w:r w:rsidR="00C95C35">
        <w:t>work seeker</w:t>
      </w:r>
      <w:r>
        <w:t xml:space="preserve"> </w:t>
      </w:r>
      <w:r w:rsidRPr="00CD127A">
        <w:t>opt</w:t>
      </w:r>
      <w:r>
        <w:t>s</w:t>
      </w:r>
      <w:r w:rsidRPr="00CD127A">
        <w:t xml:space="preserve"> out of the Conduct Regulations.  </w:t>
      </w:r>
      <w:r>
        <w:t xml:space="preserve">A </w:t>
      </w:r>
      <w:r w:rsidR="00C95C35">
        <w:t>work seeker</w:t>
      </w:r>
      <w:r w:rsidRPr="00CD127A">
        <w:t xml:space="preserve"> can opt out provided: </w:t>
      </w:r>
    </w:p>
    <w:p w14:paraId="4E9C7EE4" w14:textId="77777777" w:rsidR="00663AEE" w:rsidRPr="00CD127A" w:rsidRDefault="00663AEE" w:rsidP="00B2649F">
      <w:pPr>
        <w:pStyle w:val="BodyText"/>
        <w:rPr>
          <w:bCs/>
        </w:rPr>
      </w:pPr>
    </w:p>
    <w:p w14:paraId="5B35AB4F" w14:textId="1F7C29DF" w:rsidR="00AB5EB4" w:rsidRPr="00663AEE" w:rsidRDefault="00AB5EB4" w:rsidP="00FE28C9">
      <w:pPr>
        <w:pStyle w:val="BodyText"/>
        <w:numPr>
          <w:ilvl w:val="0"/>
          <w:numId w:val="12"/>
        </w:numPr>
        <w:rPr>
          <w:bCs/>
        </w:rPr>
      </w:pPr>
      <w:r w:rsidRPr="00663AEE">
        <w:t>They work through a limited co</w:t>
      </w:r>
      <w:r w:rsidR="003754B1" w:rsidRPr="00663AEE">
        <w:t xml:space="preserve">mpany </w:t>
      </w:r>
      <w:r w:rsidRPr="00663AEE">
        <w:t>such as their own personal service company or an umbrella company</w:t>
      </w:r>
      <w:r w:rsidR="003754B1" w:rsidRPr="00663AEE">
        <w:t xml:space="preserve">; and </w:t>
      </w:r>
      <w:r w:rsidRPr="00663AEE">
        <w:t xml:space="preserve"> </w:t>
      </w:r>
    </w:p>
    <w:p w14:paraId="34F9EC3D" w14:textId="77777777" w:rsidR="00AB5EB4" w:rsidRPr="00663AEE" w:rsidRDefault="00AB5EB4" w:rsidP="00FE28C9">
      <w:pPr>
        <w:pStyle w:val="BodyText"/>
        <w:numPr>
          <w:ilvl w:val="0"/>
          <w:numId w:val="12"/>
        </w:numPr>
        <w:rPr>
          <w:bCs/>
        </w:rPr>
      </w:pPr>
      <w:r w:rsidRPr="00663AEE">
        <w:t xml:space="preserve">They do not work with vulnerable people (e.g. in healthcare or education). </w:t>
      </w:r>
    </w:p>
    <w:p w14:paraId="72E8A145" w14:textId="77777777" w:rsidR="00AB5EB4" w:rsidRPr="00663AEE" w:rsidRDefault="00AB5EB4" w:rsidP="00B2649F">
      <w:pPr>
        <w:pStyle w:val="BodyText"/>
      </w:pPr>
    </w:p>
    <w:p w14:paraId="617FCE59" w14:textId="6D4E20D8" w:rsidR="00AB5EB4" w:rsidRPr="00C32985" w:rsidRDefault="00A62091" w:rsidP="00B2649F">
      <w:pPr>
        <w:pStyle w:val="BodyText"/>
        <w:rPr>
          <w:bCs/>
        </w:rPr>
      </w:pPr>
      <w:r>
        <w:t xml:space="preserve">You must tell the client about </w:t>
      </w:r>
      <w:r w:rsidR="00AB5EB4">
        <w:t>the</w:t>
      </w:r>
      <w:r w:rsidR="00AB5EB4" w:rsidRPr="00C32985">
        <w:t xml:space="preserve"> opt out </w:t>
      </w:r>
      <w:r w:rsidR="00AB5EB4" w:rsidRPr="001C35DF">
        <w:rPr>
          <w:u w:val="single"/>
        </w:rPr>
        <w:t>before</w:t>
      </w:r>
      <w:r w:rsidR="00AB5EB4" w:rsidRPr="00C32985">
        <w:t xml:space="preserve"> the </w:t>
      </w:r>
      <w:r>
        <w:t xml:space="preserve">assignment </w:t>
      </w:r>
      <w:r w:rsidR="00AB5EB4" w:rsidRPr="00C32985">
        <w:t>start</w:t>
      </w:r>
      <w:r>
        <w:t>s</w:t>
      </w:r>
      <w:r w:rsidR="00051768" w:rsidRPr="00FE1620">
        <w:rPr>
          <w:bCs/>
        </w:rPr>
        <w:t>–</w:t>
      </w:r>
      <w:r w:rsidR="003754B1">
        <w:t xml:space="preserve"> </w:t>
      </w:r>
      <w:r w:rsidR="00AB5EB4" w:rsidRPr="00C32985">
        <w:t>otherwise the opt out will not apply until the next assignment starts</w:t>
      </w:r>
      <w:r w:rsidR="00AB5EB4">
        <w:t xml:space="preserve">. The opt out must be signed by both the individual and the limited company they work through. </w:t>
      </w:r>
    </w:p>
    <w:p w14:paraId="7F1C16F4" w14:textId="77777777" w:rsidR="00AB5EB4" w:rsidRPr="00CD127A" w:rsidRDefault="00AB5EB4" w:rsidP="00FE1620">
      <w:pPr>
        <w:spacing w:after="0" w:line="240" w:lineRule="auto"/>
        <w:ind w:right="284"/>
        <w:rPr>
          <w:rFonts w:ascii="Lato" w:hAnsi="Lato"/>
          <w:bCs/>
          <w:color w:val="000000"/>
        </w:rPr>
      </w:pPr>
    </w:p>
    <w:p w14:paraId="77363274" w14:textId="3D23D619" w:rsidR="00A524BF" w:rsidRPr="00CD127A" w:rsidRDefault="00AB5EB4" w:rsidP="00056BA5">
      <w:pPr>
        <w:pStyle w:val="BodyText"/>
      </w:pPr>
      <w:r w:rsidRPr="00B96D36">
        <w:rPr>
          <w:b/>
          <w:color w:val="000000"/>
        </w:rPr>
        <w:t>If a valid opt out is given</w:t>
      </w:r>
      <w:r w:rsidR="004B48EC" w:rsidRPr="00B96D36">
        <w:rPr>
          <w:b/>
          <w:color w:val="000000"/>
        </w:rPr>
        <w:t>,</w:t>
      </w:r>
      <w:r w:rsidRPr="00B96D36">
        <w:rPr>
          <w:b/>
          <w:color w:val="000000"/>
        </w:rPr>
        <w:t xml:space="preserve"> the Conduct Regulations do not apply either to the terms with the client or with the </w:t>
      </w:r>
      <w:r w:rsidR="00C95C35" w:rsidRPr="00B96D36">
        <w:rPr>
          <w:b/>
          <w:color w:val="000000"/>
        </w:rPr>
        <w:t>work seeker</w:t>
      </w:r>
      <w:r w:rsidRPr="00B96D36">
        <w:rPr>
          <w:b/>
          <w:color w:val="000000"/>
        </w:rPr>
        <w:t>.</w:t>
      </w:r>
      <w:r>
        <w:rPr>
          <w:color w:val="000000"/>
        </w:rPr>
        <w:t xml:space="preserve"> </w:t>
      </w:r>
      <w:r w:rsidR="00A524BF" w:rsidRPr="00CD127A">
        <w:t xml:space="preserve">You must know before an assignment starts, whether the Conduct Regulations will apply to that assignment or not. That is because your obligations to both the client and the </w:t>
      </w:r>
      <w:r w:rsidR="00C95C35">
        <w:t>work seeker</w:t>
      </w:r>
      <w:r w:rsidR="003754B1">
        <w:t xml:space="preserve"> (the </w:t>
      </w:r>
      <w:r w:rsidR="00A524BF" w:rsidRPr="00CD127A">
        <w:t xml:space="preserve">individual </w:t>
      </w:r>
      <w:r w:rsidR="003754B1">
        <w:t xml:space="preserve">and </w:t>
      </w:r>
      <w:r w:rsidR="00A524BF" w:rsidRPr="00CD127A">
        <w:t xml:space="preserve">the intermediary they work through) will differ depending on whether the Conduct Regulations apply or not. If you know that you will only work with temporary workers who cannot opt out of the Conduct </w:t>
      </w:r>
      <w:r w:rsidR="00056BA5" w:rsidRPr="00CD127A">
        <w:t>Regulations,</w:t>
      </w:r>
      <w:r w:rsidR="00A524BF" w:rsidRPr="00CD127A">
        <w:t xml:space="preserve"> you c</w:t>
      </w:r>
      <w:r w:rsidR="00FB0ADA">
        <w:t>an</w:t>
      </w:r>
      <w:r w:rsidR="00A524BF" w:rsidRPr="00CD127A">
        <w:t xml:space="preserve"> delete the provisions marked “</w:t>
      </w:r>
      <w:r w:rsidR="003754B1">
        <w:t>W</w:t>
      </w:r>
      <w:r w:rsidR="00A524BF" w:rsidRPr="00CD127A">
        <w:t xml:space="preserve">here the Conduct Regulations do not apply”.  </w:t>
      </w:r>
    </w:p>
    <w:p w14:paraId="3E976C7A" w14:textId="77777777" w:rsidR="00704C12" w:rsidRPr="003D0884" w:rsidRDefault="00704C12" w:rsidP="00FE1620">
      <w:pPr>
        <w:pStyle w:val="BodyText"/>
        <w:rPr>
          <w:b/>
          <w:color w:val="009999"/>
        </w:rPr>
      </w:pPr>
    </w:p>
    <w:p w14:paraId="00E3700B" w14:textId="46D92E6E" w:rsidR="003D0884" w:rsidRPr="00EF666F" w:rsidRDefault="003754B1" w:rsidP="00056BA5">
      <w:pPr>
        <w:pStyle w:val="BodyText"/>
        <w:rPr>
          <w:sz w:val="28"/>
          <w:szCs w:val="28"/>
        </w:rPr>
      </w:pPr>
      <w:r w:rsidRPr="00EF666F">
        <w:rPr>
          <w:rStyle w:val="Heading2Char"/>
          <w:szCs w:val="28"/>
        </w:rPr>
        <w:t>The Off-Payroll Rules (IR35)</w:t>
      </w:r>
      <w:r w:rsidR="005E361C" w:rsidRPr="00EF666F">
        <w:rPr>
          <w:rStyle w:val="Heading2Char"/>
          <w:szCs w:val="28"/>
        </w:rPr>
        <w:t xml:space="preserve"> </w:t>
      </w:r>
    </w:p>
    <w:p w14:paraId="304DF76A" w14:textId="77777777" w:rsidR="003D0884" w:rsidRPr="003D0884" w:rsidRDefault="003D0884" w:rsidP="00056BA5">
      <w:pPr>
        <w:pStyle w:val="BodyText"/>
      </w:pPr>
    </w:p>
    <w:p w14:paraId="21657F9E" w14:textId="77777777" w:rsidR="001C1C11" w:rsidRPr="00FE1620" w:rsidRDefault="001C1C11" w:rsidP="001C1C11">
      <w:pPr>
        <w:pStyle w:val="BodyText"/>
      </w:pPr>
      <w:r w:rsidRPr="00B759E6">
        <w:rPr>
          <w:b/>
          <w:bCs/>
          <w:color w:val="5974D4" w:themeColor="background1"/>
        </w:rPr>
        <w:t>When to use these terms:</w:t>
      </w:r>
    </w:p>
    <w:p w14:paraId="4DDDA345" w14:textId="77777777" w:rsidR="001C1C11" w:rsidRPr="003D0884" w:rsidRDefault="001C1C11" w:rsidP="001C1C11">
      <w:pPr>
        <w:pStyle w:val="BodyText"/>
      </w:pPr>
    </w:p>
    <w:p w14:paraId="4ACD63DC" w14:textId="2B8F1424" w:rsidR="001C1C11" w:rsidRDefault="001C1C11" w:rsidP="001C1C11">
      <w:pPr>
        <w:pStyle w:val="BodyText"/>
        <w:rPr>
          <w:bCs/>
          <w:lang w:eastAsia="en-GB"/>
        </w:rPr>
      </w:pPr>
      <w:r>
        <w:t xml:space="preserve">The off-payroll rules were initially applied to the public sector and were subsequently extended to the private sector from 6 April 2021 so that they applied to payments made for work done on or after that date unless the following exemption apply to </w:t>
      </w:r>
      <w:r w:rsidR="00A116BD">
        <w:t>the private</w:t>
      </w:r>
      <w:r>
        <w:t xml:space="preserve"> sector client: </w:t>
      </w:r>
    </w:p>
    <w:p w14:paraId="447CC7F0" w14:textId="77777777" w:rsidR="001C1C11" w:rsidRDefault="001C1C11" w:rsidP="001C1C11">
      <w:pPr>
        <w:pStyle w:val="BodyText"/>
        <w:rPr>
          <w:bCs/>
          <w:highlight w:val="yellow"/>
          <w:lang w:eastAsia="en-GB"/>
        </w:rPr>
      </w:pPr>
    </w:p>
    <w:p w14:paraId="020F13F0" w14:textId="77777777" w:rsidR="001C1C11" w:rsidRPr="00B96D36" w:rsidRDefault="001C1C11" w:rsidP="001C1C11">
      <w:pPr>
        <w:pStyle w:val="BodyText"/>
        <w:ind w:left="714" w:hanging="357"/>
        <w:rPr>
          <w:bCs/>
          <w:lang w:eastAsia="en-GB"/>
        </w:rPr>
      </w:pPr>
      <w:r w:rsidRPr="00B96D36">
        <w:rPr>
          <w:bCs/>
          <w:lang w:eastAsia="en-GB"/>
        </w:rPr>
        <w:t xml:space="preserve">1. Small </w:t>
      </w:r>
      <w:r>
        <w:rPr>
          <w:bCs/>
          <w:lang w:eastAsia="en-GB"/>
        </w:rPr>
        <w:t>organisations; and</w:t>
      </w:r>
    </w:p>
    <w:p w14:paraId="177C982F" w14:textId="77777777" w:rsidR="001C1C11" w:rsidRDefault="001C1C11" w:rsidP="001C1C11">
      <w:pPr>
        <w:pStyle w:val="BodyText"/>
        <w:ind w:left="714" w:hanging="357"/>
        <w:rPr>
          <w:bCs/>
          <w:lang w:eastAsia="en-GB"/>
        </w:rPr>
      </w:pPr>
      <w:r w:rsidRPr="00B96D36">
        <w:rPr>
          <w:bCs/>
          <w:lang w:eastAsia="en-GB"/>
        </w:rPr>
        <w:t xml:space="preserve">2. </w:t>
      </w:r>
      <w:r>
        <w:rPr>
          <w:bCs/>
          <w:lang w:eastAsia="en-GB"/>
        </w:rPr>
        <w:t>C</w:t>
      </w:r>
      <w:r w:rsidRPr="00B96D36">
        <w:rPr>
          <w:bCs/>
          <w:lang w:eastAsia="en-GB"/>
        </w:rPr>
        <w:t>ompanies</w:t>
      </w:r>
      <w:r>
        <w:rPr>
          <w:bCs/>
          <w:lang w:eastAsia="en-GB"/>
        </w:rPr>
        <w:t xml:space="preserve"> with no UK connection. </w:t>
      </w:r>
    </w:p>
    <w:p w14:paraId="21E70D2F" w14:textId="77777777" w:rsidR="001C1C11" w:rsidRDefault="001C1C11" w:rsidP="001C1C11">
      <w:pPr>
        <w:pStyle w:val="BodyText"/>
        <w:rPr>
          <w:bCs/>
          <w:lang w:eastAsia="en-GB"/>
        </w:rPr>
      </w:pPr>
    </w:p>
    <w:p w14:paraId="37F180D8" w14:textId="77777777" w:rsidR="001C1C11" w:rsidRPr="00E170EE" w:rsidRDefault="001C1C11" w:rsidP="001C1C11">
      <w:pPr>
        <w:pStyle w:val="BodyText"/>
        <w:rPr>
          <w:b/>
          <w:bCs/>
          <w:color w:val="5974D4" w:themeColor="background1"/>
          <w:lang w:eastAsia="en-GB"/>
        </w:rPr>
      </w:pPr>
      <w:r w:rsidRPr="00E170EE">
        <w:rPr>
          <w:b/>
          <w:bCs/>
          <w:color w:val="5974D4" w:themeColor="background1"/>
          <w:lang w:eastAsia="en-GB"/>
        </w:rPr>
        <w:t>Exempt small organisations:</w:t>
      </w:r>
    </w:p>
    <w:p w14:paraId="46E89DDC" w14:textId="77777777" w:rsidR="001C1C11" w:rsidRDefault="001C1C11" w:rsidP="001C1C11">
      <w:pPr>
        <w:pStyle w:val="BodyText"/>
      </w:pPr>
      <w:r>
        <w:rPr>
          <w:bCs/>
          <w:lang w:eastAsia="en-GB"/>
        </w:rPr>
        <w:t xml:space="preserve">A private sector client will be exempt from the off-payroll rules if it </w:t>
      </w:r>
      <w:r>
        <w:t xml:space="preserve">meets the definition of small company set out in sections 382 and 383 of the </w:t>
      </w:r>
      <w:hyperlink r:id="rId11" w:history="1">
        <w:r w:rsidRPr="00B96D36">
          <w:rPr>
            <w:rStyle w:val="Hyperlink"/>
            <w:color w:val="36BEAE" w:themeColor="text2"/>
          </w:rPr>
          <w:t>Companies Act 2006</w:t>
        </w:r>
      </w:hyperlink>
      <w:r>
        <w:rPr>
          <w:rStyle w:val="Hyperlink"/>
          <w:color w:val="36BEAE" w:themeColor="text2"/>
        </w:rPr>
        <w:t xml:space="preserve"> as amended by amended by </w:t>
      </w:r>
      <w:hyperlink r:id="rId12" w:history="1">
        <w:r w:rsidRPr="00F6537E">
          <w:rPr>
            <w:rStyle w:val="Hyperlink"/>
          </w:rPr>
          <w:t>The Companies (Accounts and Reports) (Amendment and Transitional Provision) Regulations 2024</w:t>
        </w:r>
      </w:hyperlink>
      <w:r w:rsidRPr="00B96D36">
        <w:rPr>
          <w:rStyle w:val="Hyperlink"/>
          <w:color w:val="36BEAE" w:themeColor="text2"/>
        </w:rPr>
        <w:t>,</w:t>
      </w:r>
      <w:r>
        <w:t xml:space="preserve"> i.e. it is a company </w:t>
      </w:r>
      <w:r w:rsidRPr="00E26C51">
        <w:t>which meets two of the following three criteria</w:t>
      </w:r>
      <w:r>
        <w:rPr>
          <w:rStyle w:val="FootnoteReference"/>
        </w:rPr>
        <w:footnoteReference w:id="1"/>
      </w:r>
      <w:r w:rsidRPr="00E26C51">
        <w:t>:</w:t>
      </w:r>
    </w:p>
    <w:p w14:paraId="64FCCE05" w14:textId="77777777" w:rsidR="001C1C11" w:rsidRDefault="001C1C11" w:rsidP="001C1C11">
      <w:pPr>
        <w:pStyle w:val="BodyText"/>
      </w:pPr>
      <w:r w:rsidRPr="00E26C51">
        <w:lastRenderedPageBreak/>
        <w:t xml:space="preserve"> </w:t>
      </w:r>
    </w:p>
    <w:p w14:paraId="5178927F" w14:textId="77777777" w:rsidR="001C1C11" w:rsidRPr="00CA410D" w:rsidRDefault="001C1C11" w:rsidP="001C1C11">
      <w:pPr>
        <w:pStyle w:val="ListParagraph"/>
        <w:numPr>
          <w:ilvl w:val="0"/>
          <w:numId w:val="42"/>
        </w:numPr>
      </w:pPr>
      <w:r>
        <w:t xml:space="preserve">it </w:t>
      </w:r>
      <w:r w:rsidRPr="00CA410D">
        <w:t>has a turnover of not more than £10.2 million</w:t>
      </w:r>
      <w:r>
        <w:t xml:space="preserve"> per financial year. From 6</w:t>
      </w:r>
      <w:r w:rsidRPr="00E62CEF">
        <w:rPr>
          <w:vertAlign w:val="superscript"/>
        </w:rPr>
        <w:t>th</w:t>
      </w:r>
      <w:r>
        <w:t xml:space="preserve"> April 2025, this threshold is set to increase to </w:t>
      </w:r>
      <w:r w:rsidRPr="000970F2">
        <w:t>not more than £15 million</w:t>
      </w:r>
    </w:p>
    <w:p w14:paraId="1998F592" w14:textId="77777777" w:rsidR="001C1C11" w:rsidRDefault="001C1C11" w:rsidP="001C1C11">
      <w:pPr>
        <w:pStyle w:val="ListParagraph"/>
        <w:numPr>
          <w:ilvl w:val="0"/>
          <w:numId w:val="42"/>
        </w:numPr>
      </w:pPr>
      <w:r>
        <w:t xml:space="preserve">it </w:t>
      </w:r>
      <w:r w:rsidRPr="00CA410D">
        <w:t xml:space="preserve">has a balance sheet of not more than </w:t>
      </w:r>
      <w:r>
        <w:t>£</w:t>
      </w:r>
      <w:r w:rsidRPr="00CA410D">
        <w:t>5.1 million</w:t>
      </w:r>
      <w:r>
        <w:t xml:space="preserve"> per financial year. From 6</w:t>
      </w:r>
      <w:r w:rsidRPr="00E62CEF">
        <w:rPr>
          <w:vertAlign w:val="superscript"/>
        </w:rPr>
        <w:t>th</w:t>
      </w:r>
      <w:r>
        <w:t xml:space="preserve"> April 2025, this threshold is set to increase to n</w:t>
      </w:r>
      <w:r w:rsidRPr="000970F2">
        <w:t>ot more than £7.5 million</w:t>
      </w:r>
    </w:p>
    <w:p w14:paraId="1C1196F1" w14:textId="77777777" w:rsidR="001C1C11" w:rsidRPr="00CA410D" w:rsidRDefault="001C1C11" w:rsidP="001C1C11">
      <w:pPr>
        <w:pStyle w:val="ListParagraph"/>
        <w:numPr>
          <w:ilvl w:val="0"/>
          <w:numId w:val="42"/>
        </w:numPr>
      </w:pPr>
      <w:r>
        <w:t xml:space="preserve">it </w:t>
      </w:r>
      <w:r w:rsidRPr="00CA410D">
        <w:t>has no more than 50 employees.</w:t>
      </w:r>
    </w:p>
    <w:p w14:paraId="69D8582A" w14:textId="77777777" w:rsidR="001C1C11" w:rsidRDefault="001C1C11" w:rsidP="001C1C11">
      <w:pPr>
        <w:pStyle w:val="BodyText"/>
      </w:pPr>
    </w:p>
    <w:p w14:paraId="2BBB4170" w14:textId="77777777" w:rsidR="001C1C11" w:rsidRDefault="001C1C11" w:rsidP="001C1C11">
      <w:pPr>
        <w:pStyle w:val="BodyText"/>
      </w:pPr>
      <w:r>
        <w:t xml:space="preserve">Unincorporated organisations will also be exempt from the off-payroll rules if they have </w:t>
      </w:r>
      <w:r w:rsidRPr="00397535">
        <w:t xml:space="preserve">a turnover of not more than £10.2 million </w:t>
      </w:r>
      <w:r>
        <w:t>per year. From 6</w:t>
      </w:r>
      <w:r w:rsidRPr="00E62CEF">
        <w:rPr>
          <w:vertAlign w:val="superscript"/>
        </w:rPr>
        <w:t>th</w:t>
      </w:r>
      <w:r>
        <w:t xml:space="preserve"> April 2025, this threshold is set to increase to </w:t>
      </w:r>
      <w:r w:rsidRPr="000970F2">
        <w:t>not more than £15 million</w:t>
      </w:r>
      <w:r>
        <w:t xml:space="preserve">. There are also rules about groups of companies and joint ventures.  </w:t>
      </w:r>
    </w:p>
    <w:p w14:paraId="49CA3B08" w14:textId="77777777" w:rsidR="001C1C11" w:rsidRDefault="001C1C11" w:rsidP="001C1C11">
      <w:pPr>
        <w:pStyle w:val="BodyText"/>
        <w:rPr>
          <w:bCs/>
          <w:lang w:eastAsia="en-GB"/>
        </w:rPr>
      </w:pPr>
    </w:p>
    <w:p w14:paraId="6E477779" w14:textId="77777777" w:rsidR="001C1C11" w:rsidRDefault="001C1C11" w:rsidP="001C1C11">
      <w:pPr>
        <w:pStyle w:val="BodyText"/>
        <w:rPr>
          <w:bCs/>
          <w:lang w:eastAsia="en-GB"/>
        </w:rPr>
      </w:pPr>
      <w:r w:rsidRPr="00CF16C2">
        <w:rPr>
          <w:bCs/>
          <w:lang w:eastAsia="en-GB"/>
        </w:rPr>
        <w:t xml:space="preserve">The rules do not require a company that </w:t>
      </w:r>
      <w:r>
        <w:rPr>
          <w:bCs/>
          <w:lang w:eastAsia="en-GB"/>
        </w:rPr>
        <w:t xml:space="preserve">claims to be exempt, </w:t>
      </w:r>
      <w:r w:rsidRPr="00CF16C2">
        <w:rPr>
          <w:bCs/>
          <w:lang w:eastAsia="en-GB"/>
        </w:rPr>
        <w:t>to proactively tell their agency suppliers</w:t>
      </w:r>
      <w:r>
        <w:rPr>
          <w:bCs/>
          <w:lang w:eastAsia="en-GB"/>
        </w:rPr>
        <w:t xml:space="preserve">. However, if asked, they must respond within 45 days to confirm whether they are exempt or not.  </w:t>
      </w:r>
      <w:r w:rsidRPr="00CF16C2">
        <w:rPr>
          <w:bCs/>
          <w:lang w:eastAsia="en-GB"/>
        </w:rPr>
        <w:t xml:space="preserve">REC template contracts between </w:t>
      </w:r>
      <w:r>
        <w:rPr>
          <w:bCs/>
          <w:lang w:eastAsia="en-GB"/>
        </w:rPr>
        <w:t xml:space="preserve">employment businesses </w:t>
      </w:r>
      <w:r w:rsidRPr="00CF16C2">
        <w:rPr>
          <w:bCs/>
          <w:lang w:eastAsia="en-GB"/>
        </w:rPr>
        <w:t xml:space="preserve">and end user clients include a provision requiring the end user client to inform the </w:t>
      </w:r>
      <w:r>
        <w:rPr>
          <w:bCs/>
          <w:lang w:eastAsia="en-GB"/>
        </w:rPr>
        <w:t>employment business whether it is exempt or not</w:t>
      </w:r>
      <w:r w:rsidRPr="00CF16C2">
        <w:rPr>
          <w:bCs/>
          <w:lang w:eastAsia="en-GB"/>
        </w:rPr>
        <w:t xml:space="preserve">. </w:t>
      </w:r>
      <w:r>
        <w:rPr>
          <w:bCs/>
          <w:lang w:eastAsia="en-GB"/>
        </w:rPr>
        <w:t xml:space="preserve">We have created </w:t>
      </w:r>
      <w:hyperlink r:id="rId13" w:history="1">
        <w:r w:rsidRPr="00B96D36">
          <w:rPr>
            <w:rStyle w:val="Hyperlink"/>
            <w:bCs/>
            <w:color w:val="36BEAE" w:themeColor="text2"/>
            <w:lang w:eastAsia="en-GB"/>
          </w:rPr>
          <w:t>an exempt company declaration form</w:t>
        </w:r>
      </w:hyperlink>
      <w:r>
        <w:rPr>
          <w:bCs/>
          <w:lang w:eastAsia="en-GB"/>
        </w:rPr>
        <w:t xml:space="preserve"> which you can use to ask the client about their status - do not try to guess whether your client is small or not. </w:t>
      </w:r>
    </w:p>
    <w:p w14:paraId="46BF476E" w14:textId="77777777" w:rsidR="001C1C11" w:rsidRDefault="001C1C11" w:rsidP="001C1C11">
      <w:pPr>
        <w:pStyle w:val="BodyText"/>
        <w:rPr>
          <w:bCs/>
          <w:lang w:eastAsia="en-GB"/>
        </w:rPr>
      </w:pPr>
    </w:p>
    <w:p w14:paraId="33242526" w14:textId="77777777" w:rsidR="001C1C11" w:rsidRDefault="001C1C11" w:rsidP="001C1C11">
      <w:pPr>
        <w:pStyle w:val="BodyText"/>
        <w:rPr>
          <w:bCs/>
          <w:lang w:eastAsia="en-GB"/>
        </w:rPr>
      </w:pPr>
      <w:r w:rsidRPr="000970F2">
        <w:rPr>
          <w:bCs/>
          <w:lang w:eastAsia="en-GB"/>
        </w:rPr>
        <w:t>A transitional provision applies in respect of the</w:t>
      </w:r>
      <w:r>
        <w:rPr>
          <w:bCs/>
          <w:lang w:eastAsia="en-GB"/>
        </w:rPr>
        <w:t xml:space="preserve"> new thresholds</w:t>
      </w:r>
      <w:r w:rsidRPr="000970F2">
        <w:rPr>
          <w:bCs/>
          <w:lang w:eastAsia="en-GB"/>
        </w:rPr>
        <w:t>, so that when considering qualification as a particular company or</w:t>
      </w:r>
      <w:r>
        <w:rPr>
          <w:bCs/>
          <w:lang w:eastAsia="en-GB"/>
        </w:rPr>
        <w:t xml:space="preserve"> unincorporated organisation </w:t>
      </w:r>
      <w:r w:rsidRPr="000970F2">
        <w:rPr>
          <w:bCs/>
          <w:lang w:eastAsia="en-GB"/>
        </w:rPr>
        <w:t xml:space="preserve">size </w:t>
      </w:r>
      <w:r>
        <w:rPr>
          <w:bCs/>
          <w:lang w:eastAsia="en-GB"/>
        </w:rPr>
        <w:t xml:space="preserve">in a </w:t>
      </w:r>
      <w:r w:rsidRPr="000970F2">
        <w:rPr>
          <w:bCs/>
          <w:lang w:eastAsia="en-GB"/>
        </w:rPr>
        <w:t xml:space="preserve">previous financial year, the </w:t>
      </w:r>
      <w:r>
        <w:rPr>
          <w:bCs/>
          <w:lang w:eastAsia="en-GB"/>
        </w:rPr>
        <w:t xml:space="preserve">new thresholds can be treated as </w:t>
      </w:r>
      <w:r w:rsidRPr="000970F2">
        <w:rPr>
          <w:bCs/>
          <w:lang w:eastAsia="en-GB"/>
        </w:rPr>
        <w:t>having applied in those previous years. This is so that companies and</w:t>
      </w:r>
      <w:r>
        <w:rPr>
          <w:bCs/>
          <w:lang w:eastAsia="en-GB"/>
        </w:rPr>
        <w:t xml:space="preserve"> unincorporated organisations</w:t>
      </w:r>
      <w:r w:rsidRPr="000970F2">
        <w:rPr>
          <w:bCs/>
          <w:lang w:eastAsia="en-GB"/>
        </w:rPr>
        <w:t xml:space="preserve"> can benefit from the new thresholds as soon as possible after the</w:t>
      </w:r>
      <w:r>
        <w:rPr>
          <w:bCs/>
          <w:lang w:eastAsia="en-GB"/>
        </w:rPr>
        <w:t>y come into force</w:t>
      </w:r>
      <w:r w:rsidRPr="000970F2">
        <w:rPr>
          <w:bCs/>
          <w:lang w:eastAsia="en-GB"/>
        </w:rPr>
        <w:t xml:space="preserve"> legislation comes into force.</w:t>
      </w:r>
    </w:p>
    <w:p w14:paraId="0CB1E2A6" w14:textId="77777777" w:rsidR="001C1C11" w:rsidRDefault="001C1C11" w:rsidP="001C1C11">
      <w:pPr>
        <w:pStyle w:val="BodyText"/>
        <w:rPr>
          <w:bCs/>
          <w:lang w:eastAsia="en-GB"/>
        </w:rPr>
      </w:pPr>
    </w:p>
    <w:p w14:paraId="1F50A47E" w14:textId="77777777" w:rsidR="001C1C11" w:rsidRDefault="001C1C11" w:rsidP="001C1C11"/>
    <w:p w14:paraId="293E2479" w14:textId="1824E226" w:rsidR="004B48EC" w:rsidRDefault="004B48EC" w:rsidP="004B48EC">
      <w:pPr>
        <w:pStyle w:val="BodyText"/>
      </w:pPr>
    </w:p>
    <w:p w14:paraId="00F784A3" w14:textId="26811C29" w:rsidR="009A354A" w:rsidRDefault="009A354A" w:rsidP="00056BA5">
      <w:pPr>
        <w:pStyle w:val="BodyText"/>
        <w:rPr>
          <w:bCs/>
          <w:highlight w:val="yellow"/>
          <w:lang w:eastAsia="en-GB"/>
        </w:rPr>
      </w:pPr>
    </w:p>
    <w:p w14:paraId="777621B8" w14:textId="09A2448C" w:rsidR="009A354A" w:rsidRPr="00B96D36" w:rsidRDefault="009A354A" w:rsidP="00056BA5">
      <w:pPr>
        <w:pStyle w:val="BodyText"/>
        <w:rPr>
          <w:bCs/>
          <w:lang w:eastAsia="en-GB"/>
        </w:rPr>
      </w:pPr>
      <w:r w:rsidRPr="00B96D36">
        <w:rPr>
          <w:bCs/>
          <w:lang w:eastAsia="en-GB"/>
        </w:rPr>
        <w:t xml:space="preserve">For more details on the small companies exemption see HMRC's Employment Status Manual at </w:t>
      </w:r>
      <w:hyperlink r:id="rId14" w:history="1">
        <w:r w:rsidRPr="00B96D36">
          <w:rPr>
            <w:rStyle w:val="Hyperlink"/>
            <w:bCs/>
            <w:color w:val="36BEAE" w:themeColor="text2"/>
            <w:lang w:eastAsia="en-GB"/>
          </w:rPr>
          <w:t>ESM 10006 to 10011A</w:t>
        </w:r>
      </w:hyperlink>
      <w:r w:rsidRPr="00B96D36">
        <w:rPr>
          <w:bCs/>
          <w:lang w:eastAsia="en-GB"/>
        </w:rPr>
        <w:t>.</w:t>
      </w:r>
    </w:p>
    <w:p w14:paraId="48BDC00F" w14:textId="5AC00F6B" w:rsidR="00056BA5" w:rsidRDefault="00056BA5" w:rsidP="00056BA5">
      <w:pPr>
        <w:pStyle w:val="BodyText"/>
        <w:rPr>
          <w:bCs/>
          <w:lang w:eastAsia="en-GB"/>
        </w:rPr>
      </w:pPr>
    </w:p>
    <w:p w14:paraId="151C6DFD" w14:textId="503C7611" w:rsidR="00916C31" w:rsidRPr="00B759E6" w:rsidRDefault="00EF666F" w:rsidP="00056BA5">
      <w:pPr>
        <w:pStyle w:val="BodyText"/>
        <w:rPr>
          <w:b/>
          <w:bCs/>
          <w:color w:val="5974D4" w:themeColor="background1"/>
          <w:lang w:eastAsia="en-GB"/>
        </w:rPr>
      </w:pPr>
      <w:r>
        <w:rPr>
          <w:b/>
          <w:bCs/>
          <w:color w:val="5974D4" w:themeColor="background1"/>
          <w:lang w:eastAsia="en-GB"/>
        </w:rPr>
        <w:t>Exempt c</w:t>
      </w:r>
      <w:r w:rsidR="00D40745" w:rsidRPr="00B759E6">
        <w:rPr>
          <w:b/>
          <w:bCs/>
          <w:color w:val="5974D4" w:themeColor="background1"/>
          <w:lang w:eastAsia="en-GB"/>
        </w:rPr>
        <w:t>ompanies with no UK connection</w:t>
      </w:r>
      <w:r w:rsidR="00916C31" w:rsidRPr="00B759E6">
        <w:rPr>
          <w:b/>
          <w:bCs/>
          <w:color w:val="5974D4" w:themeColor="background1"/>
          <w:lang w:eastAsia="en-GB"/>
        </w:rPr>
        <w:t>:</w:t>
      </w:r>
    </w:p>
    <w:p w14:paraId="7CFD20DF" w14:textId="3EEAB07A" w:rsidR="00916C31" w:rsidRDefault="009A354A" w:rsidP="00056BA5">
      <w:pPr>
        <w:pStyle w:val="BodyText"/>
        <w:rPr>
          <w:bCs/>
          <w:lang w:eastAsia="en-GB"/>
        </w:rPr>
      </w:pPr>
      <w:r>
        <w:rPr>
          <w:bCs/>
          <w:lang w:eastAsia="en-GB"/>
        </w:rPr>
        <w:t xml:space="preserve">A company will also be exempt if it is based wholly overseas, i.e. there is no UK connection </w:t>
      </w:r>
      <w:r w:rsidR="00E3492A">
        <w:rPr>
          <w:bCs/>
          <w:lang w:eastAsia="en-GB"/>
        </w:rPr>
        <w:t>i</w:t>
      </w:r>
      <w:r>
        <w:rPr>
          <w:bCs/>
          <w:lang w:eastAsia="en-GB"/>
        </w:rPr>
        <w:t>mmediately before the beginning of the relevant tax year either in the form of being UK resident or having a permanent establishment in the UK.  This means having a fixed place of business which includes a branch, an office or a factory. It also include</w:t>
      </w:r>
      <w:r w:rsidR="00E3492A">
        <w:rPr>
          <w:bCs/>
          <w:lang w:eastAsia="en-GB"/>
        </w:rPr>
        <w:t>s</w:t>
      </w:r>
      <w:r>
        <w:rPr>
          <w:bCs/>
          <w:lang w:eastAsia="en-GB"/>
        </w:rPr>
        <w:t xml:space="preserve"> </w:t>
      </w:r>
      <w:r w:rsidR="00812AA7">
        <w:rPr>
          <w:bCs/>
          <w:lang w:eastAsia="en-GB"/>
        </w:rPr>
        <w:t xml:space="preserve">having an agent that ordinarily operates on behalf of the client or </w:t>
      </w:r>
      <w:r>
        <w:rPr>
          <w:bCs/>
          <w:lang w:eastAsia="en-GB"/>
        </w:rPr>
        <w:t xml:space="preserve">an oil or gas platform within UK waters. </w:t>
      </w:r>
    </w:p>
    <w:p w14:paraId="63F6797B" w14:textId="019F58A7" w:rsidR="00916C31" w:rsidRDefault="00916C31" w:rsidP="00056BA5">
      <w:pPr>
        <w:pStyle w:val="BodyText"/>
        <w:rPr>
          <w:bCs/>
          <w:lang w:eastAsia="en-GB"/>
        </w:rPr>
      </w:pPr>
    </w:p>
    <w:p w14:paraId="156F4489" w14:textId="2AF9DF58" w:rsidR="00812AA7" w:rsidRDefault="00812AA7" w:rsidP="00056BA5">
      <w:pPr>
        <w:pStyle w:val="BodyText"/>
        <w:rPr>
          <w:bCs/>
          <w:lang w:eastAsia="en-GB"/>
        </w:rPr>
      </w:pPr>
      <w:r>
        <w:rPr>
          <w:bCs/>
          <w:lang w:eastAsia="en-GB"/>
        </w:rPr>
        <w:t xml:space="preserve">Again, </w:t>
      </w:r>
      <w:r w:rsidRPr="001C35DF">
        <w:rPr>
          <w:b/>
          <w:lang w:eastAsia="en-GB"/>
        </w:rPr>
        <w:t>do not try to guess whether your client is wholly overseas or not</w:t>
      </w:r>
      <w:r>
        <w:rPr>
          <w:bCs/>
          <w:lang w:eastAsia="en-GB"/>
        </w:rPr>
        <w:t xml:space="preserve">. You can use the exempt company declaration form to ask the client about its status. Note that, unlike the exemption due to size, the legislation does not require the client to respond to any queries about it is exempt because is wholly overseas. </w:t>
      </w:r>
    </w:p>
    <w:p w14:paraId="5918A089" w14:textId="7CBF77A7" w:rsidR="00916C31" w:rsidRDefault="00916C31" w:rsidP="00056BA5">
      <w:pPr>
        <w:pStyle w:val="BodyText"/>
        <w:rPr>
          <w:bCs/>
          <w:lang w:eastAsia="en-GB"/>
        </w:rPr>
      </w:pPr>
    </w:p>
    <w:p w14:paraId="5FE6F854" w14:textId="4DC7AC5A" w:rsidR="009A354A" w:rsidRDefault="009A354A" w:rsidP="009A354A">
      <w:pPr>
        <w:pStyle w:val="BodyText"/>
        <w:rPr>
          <w:bCs/>
          <w:highlight w:val="yellow"/>
          <w:lang w:eastAsia="en-GB"/>
        </w:rPr>
      </w:pPr>
      <w:r w:rsidRPr="00BA7C86">
        <w:rPr>
          <w:bCs/>
          <w:lang w:eastAsia="en-GB"/>
        </w:rPr>
        <w:t xml:space="preserve">For more details on the </w:t>
      </w:r>
      <w:r>
        <w:rPr>
          <w:bCs/>
          <w:lang w:eastAsia="en-GB"/>
        </w:rPr>
        <w:t xml:space="preserve">overseas </w:t>
      </w:r>
      <w:r w:rsidRPr="00B96D36">
        <w:rPr>
          <w:bCs/>
          <w:lang w:eastAsia="en-GB"/>
        </w:rPr>
        <w:t xml:space="preserve">companies exemption see HMRC's Employment Status Manual at </w:t>
      </w:r>
      <w:hyperlink r:id="rId15" w:history="1">
        <w:r w:rsidRPr="00B96D36">
          <w:rPr>
            <w:rStyle w:val="Hyperlink"/>
            <w:bCs/>
            <w:color w:val="36BEAE" w:themeColor="text2"/>
            <w:lang w:eastAsia="en-GB"/>
          </w:rPr>
          <w:t>ESM 10006 and 10025 to 10026</w:t>
        </w:r>
      </w:hyperlink>
      <w:r w:rsidRPr="00B96D36">
        <w:rPr>
          <w:bCs/>
          <w:lang w:eastAsia="en-GB"/>
        </w:rPr>
        <w:t>.</w:t>
      </w:r>
    </w:p>
    <w:p w14:paraId="7C6C402D" w14:textId="77777777" w:rsidR="009A354A" w:rsidRDefault="009A354A" w:rsidP="00056BA5">
      <w:pPr>
        <w:pStyle w:val="BodyText"/>
        <w:rPr>
          <w:bCs/>
          <w:lang w:eastAsia="en-GB"/>
        </w:rPr>
      </w:pPr>
    </w:p>
    <w:p w14:paraId="389D5809" w14:textId="68976D43" w:rsidR="00016D33" w:rsidRDefault="00AB67F0" w:rsidP="00EF666F">
      <w:pPr>
        <w:pStyle w:val="BodyText"/>
        <w:rPr>
          <w:bCs/>
          <w:lang w:eastAsia="en-GB"/>
        </w:rPr>
      </w:pPr>
      <w:r w:rsidRPr="00CF16C2">
        <w:rPr>
          <w:bCs/>
          <w:lang w:eastAsia="en-GB"/>
        </w:rPr>
        <w:t>Th</w:t>
      </w:r>
      <w:r>
        <w:rPr>
          <w:bCs/>
          <w:lang w:eastAsia="en-GB"/>
        </w:rPr>
        <w:t>is</w:t>
      </w:r>
      <w:r w:rsidRPr="00CF16C2">
        <w:rPr>
          <w:bCs/>
          <w:lang w:eastAsia="en-GB"/>
        </w:rPr>
        <w:t xml:space="preserve"> contract also includes a provision requiring the end user to client to notify </w:t>
      </w:r>
      <w:r>
        <w:rPr>
          <w:bCs/>
          <w:lang w:eastAsia="en-GB"/>
        </w:rPr>
        <w:t xml:space="preserve">you if it </w:t>
      </w:r>
      <w:r w:rsidR="003224C6">
        <w:rPr>
          <w:bCs/>
          <w:lang w:eastAsia="en-GB"/>
        </w:rPr>
        <w:t>is no longer</w:t>
      </w:r>
      <w:r w:rsidR="00B52538">
        <w:rPr>
          <w:bCs/>
          <w:lang w:eastAsia="en-GB"/>
        </w:rPr>
        <w:t xml:space="preserve"> exempt</w:t>
      </w:r>
      <w:r w:rsidR="003224C6">
        <w:rPr>
          <w:bCs/>
          <w:lang w:eastAsia="en-GB"/>
        </w:rPr>
        <w:t xml:space="preserve"> </w:t>
      </w:r>
      <w:r>
        <w:rPr>
          <w:bCs/>
          <w:lang w:eastAsia="en-GB"/>
        </w:rPr>
        <w:t xml:space="preserve">and is </w:t>
      </w:r>
      <w:r w:rsidR="003224C6">
        <w:rPr>
          <w:bCs/>
          <w:lang w:eastAsia="en-GB"/>
        </w:rPr>
        <w:t xml:space="preserve">therefore </w:t>
      </w:r>
      <w:r>
        <w:rPr>
          <w:bCs/>
          <w:lang w:eastAsia="en-GB"/>
        </w:rPr>
        <w:t xml:space="preserve">caught by the off-payroll rules. </w:t>
      </w:r>
      <w:r w:rsidR="00016D33">
        <w:rPr>
          <w:bCs/>
          <w:lang w:eastAsia="en-GB"/>
        </w:rPr>
        <w:t xml:space="preserve">If your client </w:t>
      </w:r>
      <w:r w:rsidR="00916C31">
        <w:rPr>
          <w:bCs/>
          <w:lang w:eastAsia="en-GB"/>
        </w:rPr>
        <w:t>i</w:t>
      </w:r>
      <w:r w:rsidR="00016D33">
        <w:rPr>
          <w:bCs/>
          <w:lang w:eastAsia="en-GB"/>
        </w:rPr>
        <w:t xml:space="preserve">s </w:t>
      </w:r>
      <w:r w:rsidR="003224C6">
        <w:rPr>
          <w:bCs/>
          <w:lang w:eastAsia="en-GB"/>
        </w:rPr>
        <w:t xml:space="preserve">not </w:t>
      </w:r>
      <w:r w:rsidR="00016D33">
        <w:rPr>
          <w:bCs/>
          <w:lang w:eastAsia="en-GB"/>
        </w:rPr>
        <w:t>exempt from the off-payroll rules, use</w:t>
      </w:r>
      <w:r w:rsidR="003224C6">
        <w:rPr>
          <w:bCs/>
          <w:lang w:eastAsia="en-GB"/>
        </w:rPr>
        <w:t xml:space="preserve"> Contract 3A,</w:t>
      </w:r>
      <w:r w:rsidR="00016D33">
        <w:rPr>
          <w:bCs/>
          <w:lang w:eastAsia="en-GB"/>
        </w:rPr>
        <w:t xml:space="preserve"> the "</w:t>
      </w:r>
      <w:r w:rsidR="003224C6">
        <w:rPr>
          <w:bCs/>
          <w:lang w:eastAsia="en-GB"/>
        </w:rPr>
        <w:t>Non-e</w:t>
      </w:r>
      <w:r w:rsidR="00016D33">
        <w:rPr>
          <w:bCs/>
          <w:lang w:eastAsia="en-GB"/>
        </w:rPr>
        <w:t xml:space="preserve">xempt company terms of business" available from the </w:t>
      </w:r>
      <w:hyperlink r:id="rId16" w:history="1">
        <w:r w:rsidR="00016D33" w:rsidRPr="00B96D36">
          <w:rPr>
            <w:rStyle w:val="Hyperlink"/>
            <w:bCs/>
            <w:color w:val="36BEAE" w:themeColor="text2"/>
            <w:lang w:eastAsia="en-GB"/>
          </w:rPr>
          <w:t xml:space="preserve">Template Document </w:t>
        </w:r>
        <w:r w:rsidR="00016D33" w:rsidRPr="00B42F64">
          <w:rPr>
            <w:rStyle w:val="Hyperlink"/>
            <w:bCs/>
            <w:color w:val="36BEAE"/>
            <w:lang w:eastAsia="en-GB"/>
          </w:rPr>
          <w:t>Library</w:t>
        </w:r>
      </w:hyperlink>
      <w:r w:rsidR="00016D33">
        <w:rPr>
          <w:bCs/>
          <w:lang w:eastAsia="en-GB"/>
        </w:rPr>
        <w:t xml:space="preserve">. </w:t>
      </w:r>
    </w:p>
    <w:p w14:paraId="14479682" w14:textId="7A215763" w:rsidR="006F2347" w:rsidRDefault="006F2347" w:rsidP="00EF666F">
      <w:pPr>
        <w:pStyle w:val="BodyText"/>
        <w:rPr>
          <w:bCs/>
          <w:lang w:eastAsia="en-GB"/>
        </w:rPr>
      </w:pPr>
    </w:p>
    <w:p w14:paraId="459A3AF2" w14:textId="77777777" w:rsidR="009B5229" w:rsidRDefault="009B5229" w:rsidP="009B5229">
      <w:pPr>
        <w:pStyle w:val="BodyText"/>
        <w:rPr>
          <w:bCs/>
          <w:lang w:eastAsia="en-GB"/>
        </w:rPr>
      </w:pPr>
      <w:r w:rsidRPr="00B96D36">
        <w:rPr>
          <w:b/>
          <w:bCs/>
          <w:lang w:eastAsia="en-GB"/>
        </w:rPr>
        <w:t xml:space="preserve">NOTE: </w:t>
      </w:r>
      <w:r>
        <w:rPr>
          <w:bCs/>
          <w:lang w:eastAsia="en-GB"/>
        </w:rPr>
        <w:t xml:space="preserve">If a company claims to be exempt, but is not, it will be deemed to be the fee-payer until such time as it confirms it is not exempt.  </w:t>
      </w:r>
      <w:bookmarkStart w:id="2" w:name="_Hlk50728485"/>
      <w:r>
        <w:rPr>
          <w:bCs/>
          <w:lang w:eastAsia="en-GB"/>
        </w:rPr>
        <w:t>(The fee-payer is the entity closest to the PSC).</w:t>
      </w:r>
      <w:bookmarkEnd w:id="2"/>
    </w:p>
    <w:p w14:paraId="752EAEDF" w14:textId="77777777" w:rsidR="008F6B99" w:rsidRDefault="008F6B99" w:rsidP="009B5229">
      <w:pPr>
        <w:pStyle w:val="BodyText"/>
        <w:rPr>
          <w:bCs/>
          <w:lang w:eastAsia="en-GB"/>
        </w:rPr>
      </w:pPr>
    </w:p>
    <w:p w14:paraId="44593A8F" w14:textId="77777777" w:rsidR="008F6B99" w:rsidRDefault="008F6B99" w:rsidP="008F6B99">
      <w:pPr>
        <w:pStyle w:val="Heading2"/>
        <w:numPr>
          <w:ilvl w:val="0"/>
          <w:numId w:val="0"/>
        </w:numPr>
        <w:ind w:left="576" w:hanging="576"/>
      </w:pPr>
      <w:bookmarkStart w:id="3" w:name="_Hlk66977254"/>
      <w:r>
        <w:t>C</w:t>
      </w:r>
      <w:r w:rsidRPr="00BC664B">
        <w:t xml:space="preserve">hanges to the </w:t>
      </w:r>
      <w:r>
        <w:t>O</w:t>
      </w:r>
      <w:r w:rsidRPr="00BC664B">
        <w:t xml:space="preserve">ff-payroll rules </w:t>
      </w:r>
    </w:p>
    <w:p w14:paraId="2E285D89" w14:textId="77777777" w:rsidR="008F6B99" w:rsidRDefault="008F6B99" w:rsidP="008F6B99">
      <w:pPr>
        <w:spacing w:after="0" w:line="240" w:lineRule="auto"/>
        <w:ind w:right="284"/>
        <w:rPr>
          <w:rFonts w:ascii="Lato" w:hAnsi="Lato"/>
          <w:sz w:val="20"/>
          <w:szCs w:val="20"/>
        </w:rPr>
      </w:pPr>
    </w:p>
    <w:p w14:paraId="5D992596" w14:textId="77777777"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2025:</w:t>
      </w:r>
    </w:p>
    <w:p w14:paraId="5743DD02" w14:textId="77777777" w:rsidR="008F6B99" w:rsidRPr="00D14605" w:rsidRDefault="008F6B99" w:rsidP="008F6B99">
      <w:pPr>
        <w:spacing w:after="0" w:line="240" w:lineRule="auto"/>
        <w:ind w:right="284"/>
        <w:rPr>
          <w:rFonts w:ascii="Lato" w:hAnsi="Lato"/>
          <w:sz w:val="20"/>
          <w:szCs w:val="20"/>
        </w:rPr>
      </w:pPr>
    </w:p>
    <w:p w14:paraId="618276AF" w14:textId="0D98C360" w:rsidR="008F6B99" w:rsidRPr="0077390D" w:rsidRDefault="008F6B99" w:rsidP="008F6B99">
      <w:pPr>
        <w:spacing w:after="0" w:line="240" w:lineRule="auto"/>
        <w:ind w:right="284"/>
        <w:rPr>
          <w:rFonts w:ascii="Lato" w:hAnsi="Lato"/>
          <w:sz w:val="20"/>
          <w:szCs w:val="20"/>
        </w:rPr>
      </w:pPr>
      <w:hyperlink r:id="rId17" w:history="1">
        <w:r w:rsidRPr="000B0033">
          <w:rPr>
            <w:rStyle w:val="Hyperlink"/>
            <w:rFonts w:ascii="Lato" w:hAnsi="Lato"/>
            <w:sz w:val="20"/>
            <w:szCs w:val="20"/>
          </w:rPr>
          <w:t>The Companies (Accounts and Reports) (Amendment and Transitional Provision) Regulations 2024</w:t>
        </w:r>
      </w:hyperlink>
      <w:r w:rsidRPr="000B0033">
        <w:rPr>
          <w:rStyle w:val="Hyperlink"/>
          <w:rFonts w:ascii="Lato" w:hAnsi="Lato"/>
          <w:color w:val="36BEAE" w:themeColor="text2"/>
          <w:sz w:val="20"/>
          <w:szCs w:val="20"/>
        </w:rPr>
        <w:t xml:space="preserve"> </w:t>
      </w:r>
      <w:r w:rsidRPr="000B0033">
        <w:rPr>
          <w:rStyle w:val="Hyperlink"/>
          <w:rFonts w:ascii="Lato" w:hAnsi="Lato"/>
          <w:color w:val="auto"/>
          <w:sz w:val="20"/>
          <w:szCs w:val="20"/>
          <w:u w:val="none"/>
        </w:rPr>
        <w:t>which come into effect on 6</w:t>
      </w:r>
      <w:r w:rsidRPr="000B0033">
        <w:rPr>
          <w:rStyle w:val="Hyperlink"/>
          <w:rFonts w:ascii="Lato" w:hAnsi="Lato"/>
          <w:color w:val="auto"/>
          <w:sz w:val="20"/>
          <w:szCs w:val="20"/>
          <w:u w:val="none"/>
          <w:vertAlign w:val="superscript"/>
        </w:rPr>
        <w:t>th</w:t>
      </w:r>
      <w:r w:rsidRPr="000B0033">
        <w:rPr>
          <w:rStyle w:val="Hyperlink"/>
          <w:rFonts w:ascii="Lato" w:hAnsi="Lato"/>
          <w:color w:val="auto"/>
          <w:sz w:val="20"/>
          <w:szCs w:val="20"/>
          <w:u w:val="none"/>
        </w:rPr>
        <w:t xml:space="preserve"> April 2025 amends section 382 of the Companies Act </w:t>
      </w:r>
      <w:r w:rsidR="00A116BD" w:rsidRPr="000B0033">
        <w:rPr>
          <w:rStyle w:val="Hyperlink"/>
          <w:rFonts w:ascii="Lato" w:hAnsi="Lato"/>
          <w:color w:val="auto"/>
          <w:sz w:val="20"/>
          <w:szCs w:val="20"/>
          <w:u w:val="none"/>
        </w:rPr>
        <w:t>2006.</w:t>
      </w:r>
      <w:r w:rsidRPr="000B0033">
        <w:rPr>
          <w:rFonts w:ascii="Lato" w:hAnsi="Lato"/>
          <w:sz w:val="20"/>
          <w:szCs w:val="20"/>
        </w:rPr>
        <w:t xml:space="preserve"> </w:t>
      </w:r>
      <w:r w:rsidRPr="000B0033">
        <w:rPr>
          <w:rStyle w:val="Hyperlink"/>
          <w:rFonts w:ascii="Lato" w:hAnsi="Lato"/>
          <w:color w:val="auto"/>
          <w:sz w:val="20"/>
          <w:szCs w:val="20"/>
          <w:u w:val="none"/>
        </w:rPr>
        <w:t>The Regulations increase the turnover and balance sheet total thresholds for determining whether a company of an unincorporated organisation is a small organisation and therefore exempt from the Off-Payroll rules.</w:t>
      </w:r>
    </w:p>
    <w:p w14:paraId="2FEC7E56" w14:textId="77777777" w:rsidR="008F6B99" w:rsidRPr="00D14605" w:rsidRDefault="008F6B99" w:rsidP="008F6B99">
      <w:pPr>
        <w:spacing w:after="0" w:line="240" w:lineRule="auto"/>
        <w:ind w:right="284"/>
        <w:rPr>
          <w:rFonts w:ascii="Lato" w:hAnsi="Lato"/>
          <w:sz w:val="20"/>
          <w:szCs w:val="20"/>
        </w:rPr>
      </w:pPr>
    </w:p>
    <w:p w14:paraId="7F04A721" w14:textId="768AF5CE"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2024:</w:t>
      </w:r>
    </w:p>
    <w:p w14:paraId="3720DD08" w14:textId="77777777" w:rsidR="00ED2774" w:rsidRPr="00D14605" w:rsidRDefault="00ED2774" w:rsidP="008F6B99">
      <w:pPr>
        <w:spacing w:after="0" w:line="240" w:lineRule="auto"/>
        <w:ind w:right="284"/>
        <w:rPr>
          <w:rFonts w:ascii="Lato" w:hAnsi="Lato"/>
          <w:sz w:val="20"/>
          <w:szCs w:val="20"/>
        </w:rPr>
      </w:pPr>
    </w:p>
    <w:p w14:paraId="708C8E5A" w14:textId="77777777"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Under the 2023-2024 Finance Bill, government introduced further changes to the Off-payroll rules which took effect on 6</w:t>
      </w:r>
      <w:r w:rsidRPr="00D14605">
        <w:rPr>
          <w:rFonts w:ascii="Lato" w:hAnsi="Lato"/>
          <w:sz w:val="20"/>
          <w:szCs w:val="20"/>
          <w:vertAlign w:val="superscript"/>
        </w:rPr>
        <w:t>th</w:t>
      </w:r>
      <w:r w:rsidRPr="00D14605">
        <w:rPr>
          <w:rFonts w:ascii="Lato" w:hAnsi="Lato"/>
          <w:sz w:val="20"/>
          <w:szCs w:val="20"/>
        </w:rPr>
        <w:t xml:space="preserve"> April 2024.</w:t>
      </w:r>
    </w:p>
    <w:p w14:paraId="5B3E0C27" w14:textId="77777777" w:rsidR="008F6B99" w:rsidRPr="00D14605" w:rsidRDefault="008F6B99" w:rsidP="008F6B99">
      <w:pPr>
        <w:spacing w:after="0" w:line="240" w:lineRule="auto"/>
        <w:ind w:right="284"/>
        <w:rPr>
          <w:rFonts w:ascii="Lato" w:hAnsi="Lato"/>
          <w:sz w:val="20"/>
          <w:szCs w:val="20"/>
        </w:rPr>
      </w:pPr>
    </w:p>
    <w:p w14:paraId="76651EF0" w14:textId="77777777"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Previously, when HMRC found that a hirer had made a mistake in applying the off-payroll working rules (e.g. had determined that an assignment is outside of IR35 when it is inside IR35), they assessed how much the employment business owed in Income Tax and National Insurance contributions (NICs).</w:t>
      </w:r>
    </w:p>
    <w:p w14:paraId="2060D72C" w14:textId="77777777" w:rsidR="008F6B99" w:rsidRPr="00D14605" w:rsidRDefault="008F6B99" w:rsidP="008F6B99">
      <w:pPr>
        <w:spacing w:after="0" w:line="240" w:lineRule="auto"/>
        <w:ind w:right="284"/>
        <w:rPr>
          <w:rFonts w:ascii="Lato" w:hAnsi="Lato"/>
          <w:sz w:val="20"/>
          <w:szCs w:val="20"/>
        </w:rPr>
      </w:pPr>
    </w:p>
    <w:p w14:paraId="3E2B81BC" w14:textId="77777777"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The changes to off-payroll working compliance checks mean that HMRC will now consider, or ‘set-off’, the taxes the worker or their intermediary (PSC)have already paid against the amount the employment business owes.</w:t>
      </w:r>
    </w:p>
    <w:p w14:paraId="261CDF77" w14:textId="77777777" w:rsidR="008F6B99" w:rsidRPr="00D14605" w:rsidRDefault="008F6B99" w:rsidP="008F6B99">
      <w:pPr>
        <w:spacing w:after="0" w:line="240" w:lineRule="auto"/>
        <w:ind w:right="284"/>
        <w:rPr>
          <w:rFonts w:ascii="Lato" w:hAnsi="Lato"/>
          <w:sz w:val="20"/>
          <w:szCs w:val="20"/>
        </w:rPr>
      </w:pPr>
    </w:p>
    <w:p w14:paraId="461F21FE" w14:textId="275D56FB"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The change l came into effect on the passing of the Finance Bill in 2024 and applies to Income Tax and NICs assessed on or after 6 April 2024, from off-payroll working errors in payments since 6 April 2017.</w:t>
      </w:r>
    </w:p>
    <w:p w14:paraId="3367DF19" w14:textId="77777777" w:rsidR="008F6B99" w:rsidRPr="00D14605" w:rsidRDefault="008F6B99" w:rsidP="008F6B99">
      <w:pPr>
        <w:spacing w:after="0" w:line="240" w:lineRule="auto"/>
        <w:ind w:right="284"/>
        <w:rPr>
          <w:rFonts w:ascii="Lato" w:hAnsi="Lato"/>
          <w:sz w:val="20"/>
          <w:szCs w:val="20"/>
        </w:rPr>
      </w:pPr>
    </w:p>
    <w:p w14:paraId="32E6830C" w14:textId="77777777"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2021:</w:t>
      </w:r>
    </w:p>
    <w:p w14:paraId="503E2957" w14:textId="77777777" w:rsidR="008F6B99" w:rsidRPr="00D14605" w:rsidRDefault="008F6B99" w:rsidP="008F6B99">
      <w:pPr>
        <w:spacing w:after="0" w:line="240" w:lineRule="auto"/>
        <w:ind w:right="284"/>
        <w:rPr>
          <w:rFonts w:ascii="Lato" w:hAnsi="Lato"/>
          <w:sz w:val="20"/>
          <w:szCs w:val="20"/>
        </w:rPr>
      </w:pPr>
    </w:p>
    <w:p w14:paraId="7BC4E178" w14:textId="64D92956"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Under the 2021 Finance Bill a few changes to the Off-pay roll rules were introduced and took</w:t>
      </w:r>
      <w:r w:rsidR="00CA56B5" w:rsidRPr="00D14605">
        <w:rPr>
          <w:rFonts w:ascii="Lato" w:hAnsi="Lato"/>
          <w:sz w:val="20"/>
          <w:szCs w:val="20"/>
        </w:rPr>
        <w:t xml:space="preserve"> </w:t>
      </w:r>
      <w:r w:rsidRPr="00D14605">
        <w:rPr>
          <w:rFonts w:ascii="Lato" w:hAnsi="Lato"/>
          <w:sz w:val="20"/>
          <w:szCs w:val="20"/>
        </w:rPr>
        <w:t>effect from 6 April 2021. These changes included:</w:t>
      </w:r>
    </w:p>
    <w:p w14:paraId="4B0AA3E4" w14:textId="77777777" w:rsidR="008F6B99" w:rsidRPr="00D14605" w:rsidRDefault="008F6B99" w:rsidP="008F6B99">
      <w:pPr>
        <w:spacing w:after="0" w:line="240" w:lineRule="auto"/>
        <w:ind w:right="284"/>
        <w:rPr>
          <w:rFonts w:ascii="Lato" w:hAnsi="Lato"/>
          <w:sz w:val="20"/>
          <w:szCs w:val="20"/>
        </w:rPr>
      </w:pPr>
    </w:p>
    <w:p w14:paraId="723E3FDC" w14:textId="77777777" w:rsidR="008F6B99" w:rsidRPr="00D14605" w:rsidRDefault="008F6B99" w:rsidP="008F6B99">
      <w:pPr>
        <w:pStyle w:val="ListParagraph"/>
        <w:numPr>
          <w:ilvl w:val="0"/>
          <w:numId w:val="43"/>
        </w:numPr>
        <w:ind w:right="195"/>
        <w:jc w:val="left"/>
        <w:textAlignment w:val="baseline"/>
        <w:rPr>
          <w:rFonts w:eastAsia="Times New Roman" w:cstheme="minorHAnsi"/>
          <w:color w:val="39393A"/>
          <w:lang w:eastAsia="en-GB"/>
        </w:rPr>
      </w:pPr>
      <w:r w:rsidRPr="00D14605">
        <w:t>a new provision to address the unintended widening of the definition of an intermediary, where it is a company. This means that umbrella companies, and other third-party companies will not be in scope of the rules provided that the payment the worker receives will be taxed as employment income.</w:t>
      </w:r>
    </w:p>
    <w:p w14:paraId="5924D98D" w14:textId="77777777" w:rsidR="008F6B99" w:rsidRPr="00D14605" w:rsidRDefault="008F6B99" w:rsidP="008F6B99">
      <w:pPr>
        <w:pStyle w:val="ListParagraph"/>
        <w:numPr>
          <w:ilvl w:val="0"/>
          <w:numId w:val="43"/>
        </w:numPr>
        <w:ind w:right="195"/>
        <w:jc w:val="left"/>
        <w:textAlignment w:val="baseline"/>
        <w:rPr>
          <w:rFonts w:eastAsia="Times New Roman" w:cstheme="minorHAnsi"/>
          <w:color w:val="39393A"/>
          <w:lang w:eastAsia="en-GB"/>
        </w:rPr>
      </w:pPr>
      <w:r w:rsidRPr="00D14605">
        <w:rPr>
          <w:rFonts w:cstheme="minorHAnsi"/>
        </w:rPr>
        <w:t>the rules still apply to contractors, who must have a material interest in the intermediary they work through. Material interest means owning more than 5% of the company shares; or being entitled to 60% or more of the profits in a partnership. But there will be a non-material interest provision for companies</w:t>
      </w:r>
      <w:r w:rsidRPr="00D14605">
        <w:rPr>
          <w:rFonts w:eastAsia="Times New Roman" w:cstheme="minorHAnsi"/>
          <w:color w:val="39393A"/>
          <w:lang w:eastAsia="en-GB"/>
        </w:rPr>
        <w:t xml:space="preserve">. The rules will apply if the contractor has 5 % or </w:t>
      </w:r>
      <w:r w:rsidRPr="00D14605">
        <w:rPr>
          <w:rFonts w:eastAsia="Times New Roman" w:cstheme="minorHAnsi"/>
          <w:color w:val="39393A"/>
          <w:lang w:eastAsia="en-GB"/>
        </w:rPr>
        <w:lastRenderedPageBreak/>
        <w:t>less of the company shares or they receive, expect, or are entitled to receive payment that is not deemed employment income.</w:t>
      </w:r>
    </w:p>
    <w:p w14:paraId="75BACF29" w14:textId="77777777" w:rsidR="008F6B99" w:rsidRPr="00D14605" w:rsidRDefault="008F6B99" w:rsidP="008F6B99">
      <w:pPr>
        <w:pStyle w:val="ListParagraph"/>
        <w:numPr>
          <w:ilvl w:val="0"/>
          <w:numId w:val="43"/>
        </w:numPr>
        <w:ind w:right="195"/>
        <w:jc w:val="left"/>
        <w:textAlignment w:val="baseline"/>
        <w:rPr>
          <w:rFonts w:cstheme="minorHAnsi"/>
          <w:color w:val="39393A"/>
          <w:lang w:eastAsia="en-GB"/>
        </w:rPr>
      </w:pPr>
      <w:r w:rsidRPr="00D14605">
        <w:rPr>
          <w:rFonts w:eastAsia="Times New Roman" w:cstheme="minorHAnsi"/>
          <w:color w:val="39393A"/>
          <w:lang w:eastAsia="en-GB"/>
        </w:rPr>
        <w:t>a targeted, anti-avoidance rule will be applied to arrangements where the primary purpose is to gain a tax advantage by circumventing the rules.</w:t>
      </w:r>
    </w:p>
    <w:p w14:paraId="1AAA490A" w14:textId="77777777" w:rsidR="008F6B99" w:rsidRPr="00D14605" w:rsidRDefault="008F6B99" w:rsidP="008F6B99">
      <w:pPr>
        <w:pStyle w:val="ListParagraph"/>
        <w:numPr>
          <w:ilvl w:val="0"/>
          <w:numId w:val="43"/>
        </w:numPr>
        <w:ind w:right="195"/>
        <w:jc w:val="left"/>
        <w:textAlignment w:val="baseline"/>
        <w:rPr>
          <w:rFonts w:eastAsia="Times New Roman" w:cstheme="minorHAnsi"/>
          <w:color w:val="39393A"/>
          <w:lang w:eastAsia="en-GB"/>
        </w:rPr>
      </w:pPr>
      <w:r w:rsidRPr="00D14605">
        <w:rPr>
          <w:rFonts w:eastAsia="Times New Roman" w:cstheme="minorHAnsi"/>
          <w:lang w:eastAsia="en-GB"/>
        </w:rPr>
        <w:t xml:space="preserve">to make sharing information easier, instead of just the worker, the </w:t>
      </w:r>
      <w:r w:rsidRPr="00D14605">
        <w:rPr>
          <w:rFonts w:eastAsia="Times New Roman" w:cstheme="minorHAnsi"/>
        </w:rPr>
        <w:t>intermediaries will be obliged to confirm to persons in the supply chain whether the IR35 qualifying conditions are met.</w:t>
      </w:r>
    </w:p>
    <w:p w14:paraId="11C0C2E7" w14:textId="77777777" w:rsidR="008F6B99" w:rsidRPr="00D14605" w:rsidRDefault="008F6B99" w:rsidP="008F6B99">
      <w:pPr>
        <w:pStyle w:val="ListParagraph"/>
        <w:numPr>
          <w:ilvl w:val="0"/>
          <w:numId w:val="43"/>
        </w:numPr>
        <w:ind w:right="195"/>
        <w:jc w:val="left"/>
        <w:textAlignment w:val="baseline"/>
        <w:rPr>
          <w:rFonts w:eastAsia="Times New Roman" w:cstheme="minorHAnsi"/>
          <w:color w:val="39393A"/>
          <w:lang w:eastAsia="en-GB"/>
        </w:rPr>
      </w:pPr>
      <w:r w:rsidRPr="00D14605">
        <w:rPr>
          <w:rFonts w:eastAsia="Times New Roman" w:cstheme="minorHAnsi"/>
          <w:color w:val="39393A"/>
          <w:lang w:eastAsia="en-GB"/>
        </w:rPr>
        <w:t>extending the consequences for providing fraudulent information, so where fraudulent information is provided, the liability will be moved to the party in the UK supply chain that provided the fraudulent information.</w:t>
      </w:r>
    </w:p>
    <w:bookmarkEnd w:id="3"/>
    <w:p w14:paraId="2B01C939" w14:textId="77777777" w:rsidR="008F6B99" w:rsidRPr="00D14605" w:rsidRDefault="008F6B99" w:rsidP="008F6B99">
      <w:pPr>
        <w:pStyle w:val="ListParagraph"/>
        <w:numPr>
          <w:ilvl w:val="0"/>
          <w:numId w:val="0"/>
        </w:numPr>
        <w:ind w:left="773" w:right="284"/>
      </w:pPr>
    </w:p>
    <w:p w14:paraId="7E91571C" w14:textId="77777777" w:rsidR="008F6B99" w:rsidRPr="00D14605" w:rsidRDefault="008F6B99" w:rsidP="008F6B99">
      <w:pPr>
        <w:spacing w:after="0" w:line="240" w:lineRule="auto"/>
        <w:ind w:right="284"/>
        <w:rPr>
          <w:rFonts w:ascii="Lato" w:hAnsi="Lato"/>
          <w:sz w:val="20"/>
          <w:szCs w:val="20"/>
        </w:rPr>
      </w:pPr>
      <w:r w:rsidRPr="00D14605">
        <w:rPr>
          <w:rFonts w:ascii="Lato" w:hAnsi="Lato"/>
          <w:sz w:val="20"/>
          <w:szCs w:val="20"/>
        </w:rPr>
        <w:t>Clauses 11.3.9.3, 11.3.9.4, the definition of Conditions of Liability and the accompanying notes have been amended to reflect these changes.</w:t>
      </w:r>
    </w:p>
    <w:p w14:paraId="28C7D159" w14:textId="77777777" w:rsidR="008F6B99" w:rsidRPr="00D14605" w:rsidRDefault="008F6B99" w:rsidP="008F6B99">
      <w:pPr>
        <w:spacing w:after="0" w:line="240" w:lineRule="auto"/>
        <w:ind w:right="284"/>
        <w:rPr>
          <w:rFonts w:ascii="Lato" w:hAnsi="Lato"/>
          <w:sz w:val="20"/>
          <w:szCs w:val="20"/>
        </w:rPr>
      </w:pPr>
    </w:p>
    <w:p w14:paraId="469073F9" w14:textId="11A956DF" w:rsidR="00607C40" w:rsidRDefault="008F6B99" w:rsidP="00607C40">
      <w:pPr>
        <w:spacing w:after="0" w:line="240" w:lineRule="auto"/>
        <w:ind w:right="284"/>
        <w:rPr>
          <w:rFonts w:ascii="Lato" w:hAnsi="Lato"/>
          <w:sz w:val="20"/>
          <w:szCs w:val="20"/>
        </w:rPr>
      </w:pPr>
      <w:r w:rsidRPr="00D14605">
        <w:rPr>
          <w:rFonts w:ascii="Lato" w:hAnsi="Lato"/>
          <w:sz w:val="20"/>
          <w:szCs w:val="20"/>
        </w:rPr>
        <w:t xml:space="preserve">For more information on the off-payroll rules see the REC </w:t>
      </w:r>
      <w:hyperlink r:id="rId18" w:history="1">
        <w:r w:rsidRPr="00D14605">
          <w:rPr>
            <w:rStyle w:val="Hyperlink"/>
            <w:rFonts w:ascii="Lato" w:hAnsi="Lato"/>
            <w:color w:val="36BEAE"/>
            <w:sz w:val="20"/>
            <w:szCs w:val="20"/>
          </w:rPr>
          <w:t>IR35 hub</w:t>
        </w:r>
      </w:hyperlink>
      <w:r w:rsidRPr="00D14605">
        <w:rPr>
          <w:rFonts w:ascii="Lato" w:hAnsi="Lato"/>
          <w:sz w:val="20"/>
          <w:szCs w:val="20"/>
        </w:rPr>
        <w:t xml:space="preserve"> and </w:t>
      </w:r>
      <w:hyperlink r:id="rId19" w:history="1">
        <w:r w:rsidRPr="00D14605">
          <w:rPr>
            <w:rStyle w:val="Hyperlink"/>
            <w:rFonts w:ascii="Lato" w:hAnsi="Lato"/>
            <w:color w:val="36BEAE"/>
            <w:sz w:val="20"/>
            <w:szCs w:val="20"/>
          </w:rPr>
          <w:t>HMRC’s</w:t>
        </w:r>
        <w:r w:rsidRPr="00D14605">
          <w:rPr>
            <w:rStyle w:val="Hyperlink"/>
            <w:rFonts w:ascii="Lato" w:hAnsi="Lato"/>
            <w:color w:val="36BEAE" w:themeColor="text2"/>
            <w:sz w:val="20"/>
            <w:szCs w:val="20"/>
          </w:rPr>
          <w:t xml:space="preserve"> Employment Status Manual</w:t>
        </w:r>
      </w:hyperlink>
      <w:r w:rsidRPr="00D14605">
        <w:rPr>
          <w:rFonts w:ascii="Lato" w:hAnsi="Lato"/>
          <w:sz w:val="20"/>
          <w:szCs w:val="20"/>
        </w:rPr>
        <w:t xml:space="preserve"> in particular chapters 9000, 10000,10003,10003A, 10003B, 10022,10023 and 11000. </w:t>
      </w:r>
    </w:p>
    <w:p w14:paraId="6C225A9D" w14:textId="77777777" w:rsidR="00607C40" w:rsidRDefault="00607C40" w:rsidP="00EF666F">
      <w:pPr>
        <w:pStyle w:val="BodyText"/>
        <w:rPr>
          <w:bCs/>
          <w:lang w:eastAsia="en-GB"/>
        </w:rPr>
      </w:pPr>
    </w:p>
    <w:p w14:paraId="7692A0F5" w14:textId="7608D6C8" w:rsidR="00F66175" w:rsidRPr="00CE2237" w:rsidRDefault="00CF16C2" w:rsidP="00EF666F">
      <w:pPr>
        <w:pStyle w:val="Heading1"/>
        <w:numPr>
          <w:ilvl w:val="0"/>
          <w:numId w:val="0"/>
        </w:numPr>
        <w:spacing w:before="0" w:after="0"/>
        <w:ind w:left="432" w:hanging="432"/>
        <w:rPr>
          <w:b/>
          <w:color w:val="5974D4" w:themeColor="background1"/>
          <w:sz w:val="34"/>
          <w:szCs w:val="36"/>
          <w:lang w:eastAsia="en-GB"/>
        </w:rPr>
      </w:pPr>
      <w:r w:rsidRPr="00CE2237">
        <w:rPr>
          <w:rStyle w:val="Heading2Char"/>
          <w:color w:val="5974D4" w:themeColor="background1"/>
          <w:sz w:val="30"/>
          <w:szCs w:val="36"/>
        </w:rPr>
        <w:t>How to use this contract</w:t>
      </w:r>
    </w:p>
    <w:p w14:paraId="6654FF52" w14:textId="77777777" w:rsidR="00544521" w:rsidRDefault="00544521" w:rsidP="0019235A">
      <w:pPr>
        <w:pStyle w:val="BodyText"/>
        <w:rPr>
          <w:b/>
          <w:lang w:eastAsia="en-GB"/>
        </w:rPr>
      </w:pPr>
    </w:p>
    <w:p w14:paraId="149C9474" w14:textId="2CAFAC16" w:rsidR="00F66175" w:rsidRPr="00CD127A" w:rsidRDefault="00F66175" w:rsidP="0019235A">
      <w:pPr>
        <w:pStyle w:val="BodyText"/>
        <w:rPr>
          <w:lang w:eastAsia="en-GB"/>
        </w:rPr>
      </w:pPr>
      <w:r w:rsidRPr="00CD127A">
        <w:rPr>
          <w:b/>
          <w:lang w:eastAsia="en-GB"/>
        </w:rPr>
        <w:t>Notes:</w:t>
      </w:r>
      <w:r w:rsidRPr="00CD127A">
        <w:rPr>
          <w:lang w:eastAsia="en-GB"/>
        </w:rPr>
        <w:t xml:space="preserve"> All notes are at the back of the contract. Delete all “</w:t>
      </w:r>
      <w:r w:rsidRPr="00CD127A">
        <w:rPr>
          <w:highlight w:val="lightGray"/>
          <w:lang w:eastAsia="en-GB"/>
        </w:rPr>
        <w:t>[</w:t>
      </w:r>
      <w:r w:rsidRPr="00CD127A">
        <w:rPr>
          <w:i/>
          <w:highlight w:val="lightGray"/>
          <w:lang w:eastAsia="en-GB"/>
        </w:rPr>
        <w:t>see Note X</w:t>
      </w:r>
      <w:r w:rsidRPr="00CD127A">
        <w:rPr>
          <w:highlight w:val="lightGray"/>
          <w:lang w:eastAsia="en-GB"/>
        </w:rPr>
        <w:t>]</w:t>
      </w:r>
      <w:r w:rsidRPr="00CD127A">
        <w:rPr>
          <w:lang w:eastAsia="en-GB"/>
        </w:rPr>
        <w:t xml:space="preserve">” from the text before passing the contract to the client. </w:t>
      </w:r>
    </w:p>
    <w:p w14:paraId="55F7D738" w14:textId="77777777" w:rsidR="00F66175" w:rsidRPr="00CD127A" w:rsidRDefault="00F66175" w:rsidP="0019235A">
      <w:pPr>
        <w:pStyle w:val="BodyText"/>
        <w:rPr>
          <w:b/>
          <w:color w:val="FF0000"/>
          <w:lang w:eastAsia="en-GB"/>
        </w:rPr>
      </w:pPr>
    </w:p>
    <w:p w14:paraId="20085836" w14:textId="77777777" w:rsidR="00F66175" w:rsidRPr="00CD127A" w:rsidRDefault="00F66175" w:rsidP="0019235A">
      <w:pPr>
        <w:pStyle w:val="BodyText"/>
        <w:rPr>
          <w:lang w:eastAsia="en-GB"/>
        </w:rPr>
      </w:pPr>
      <w:r w:rsidRPr="00CD127A">
        <w:rPr>
          <w:b/>
          <w:lang w:eastAsia="en-GB"/>
        </w:rPr>
        <w:t xml:space="preserve">Automatic numbering: </w:t>
      </w:r>
      <w:r w:rsidRPr="00CD127A">
        <w:rPr>
          <w:lang w:eastAsia="en-GB"/>
        </w:rPr>
        <w:t>All contracts have automatic numbering. You do not need to amend the numbering in any of the clauses.</w:t>
      </w:r>
    </w:p>
    <w:p w14:paraId="7B2CD36D" w14:textId="77777777" w:rsidR="00F66175" w:rsidRPr="00CD127A" w:rsidRDefault="00F66175" w:rsidP="0019235A">
      <w:pPr>
        <w:pStyle w:val="BodyText"/>
        <w:rPr>
          <w:lang w:eastAsia="en-GB"/>
        </w:rPr>
      </w:pPr>
    </w:p>
    <w:p w14:paraId="01B7E534" w14:textId="456047AD" w:rsidR="00F66175" w:rsidRPr="00CD127A" w:rsidRDefault="00F66175" w:rsidP="0019235A">
      <w:pPr>
        <w:pStyle w:val="BodyText"/>
        <w:rPr>
          <w:lang w:eastAsia="en-GB"/>
        </w:rPr>
      </w:pPr>
      <w:r w:rsidRPr="00CD127A">
        <w:rPr>
          <w:b/>
          <w:lang w:eastAsia="en-GB"/>
        </w:rPr>
        <w:t>Highlighting:</w:t>
      </w:r>
      <w:r w:rsidR="00161019" w:rsidRPr="00CD127A" w:rsidDel="00161019">
        <w:rPr>
          <w:b/>
          <w:lang w:eastAsia="en-GB"/>
        </w:rPr>
        <w:t xml:space="preserve"> </w:t>
      </w:r>
      <w:r w:rsidR="006F2347">
        <w:rPr>
          <w:lang w:eastAsia="en-GB"/>
        </w:rPr>
        <w:t>W</w:t>
      </w:r>
      <w:r w:rsidRPr="00CD127A">
        <w:rPr>
          <w:lang w:eastAsia="en-GB"/>
        </w:rPr>
        <w:t xml:space="preserve">e have highlighted the places where you need to insert information specific to your business and also where there are optional clauses or notes at the end of the template contract. The notes and insertions are highlighted in grey while the optional clauses are highlighted in blue, yellow and pink. To remove highlighting from your Word document do the following: select the highlighted text, or press </w:t>
      </w:r>
      <w:proofErr w:type="spellStart"/>
      <w:r w:rsidRPr="00CD127A">
        <w:rPr>
          <w:lang w:eastAsia="en-GB"/>
        </w:rPr>
        <w:t>CTRL+A</w:t>
      </w:r>
      <w:proofErr w:type="spellEnd"/>
      <w:r w:rsidRPr="00CD127A">
        <w:rPr>
          <w:lang w:eastAsia="en-GB"/>
        </w:rPr>
        <w:t xml:space="preserve"> to select all of the text in the document; then on the Formatting toolbar, click the arrow next to Highlight tab and then select None and the highlighting will be removed.</w:t>
      </w:r>
    </w:p>
    <w:p w14:paraId="06E09EE3" w14:textId="77777777" w:rsidR="00F66175" w:rsidRPr="00CD127A" w:rsidRDefault="00F66175" w:rsidP="0019235A">
      <w:pPr>
        <w:pStyle w:val="BodyText"/>
        <w:rPr>
          <w:lang w:eastAsia="en-GB"/>
        </w:rPr>
      </w:pPr>
    </w:p>
    <w:p w14:paraId="723C1746" w14:textId="78EC9EDC" w:rsidR="00F66175" w:rsidRDefault="00F66175" w:rsidP="0019235A">
      <w:pPr>
        <w:pStyle w:val="BodyText"/>
        <w:rPr>
          <w:lang w:eastAsia="en-GB"/>
        </w:rPr>
      </w:pPr>
      <w:r w:rsidRPr="00CD127A">
        <w:rPr>
          <w:b/>
          <w:lang w:eastAsia="en-GB"/>
        </w:rPr>
        <w:t>Options in clauses:</w:t>
      </w:r>
      <w:r w:rsidRPr="00CD127A">
        <w:rPr>
          <w:lang w:eastAsia="en-GB"/>
        </w:rPr>
        <w:t xml:space="preserve"> Some clauses require you to choose from </w:t>
      </w:r>
      <w:r w:rsidRPr="00AE5082">
        <w:rPr>
          <w:highlight w:val="yellow"/>
          <w:lang w:eastAsia="en-GB"/>
        </w:rPr>
        <w:t>Option A</w:t>
      </w:r>
      <w:r w:rsidRPr="00CD127A">
        <w:rPr>
          <w:lang w:eastAsia="en-GB"/>
        </w:rPr>
        <w:t xml:space="preserve">, </w:t>
      </w:r>
      <w:r w:rsidRPr="00AE5082">
        <w:rPr>
          <w:highlight w:val="green"/>
          <w:lang w:eastAsia="en-GB"/>
        </w:rPr>
        <w:t>Option B</w:t>
      </w:r>
      <w:r w:rsidRPr="00CD127A">
        <w:rPr>
          <w:lang w:eastAsia="en-GB"/>
        </w:rPr>
        <w:t xml:space="preserve"> or </w:t>
      </w:r>
      <w:r w:rsidRPr="00AE5082">
        <w:rPr>
          <w:highlight w:val="magenta"/>
          <w:lang w:eastAsia="en-GB"/>
        </w:rPr>
        <w:t>Option C</w:t>
      </w:r>
      <w:r w:rsidRPr="00CD127A">
        <w:rPr>
          <w:lang w:eastAsia="en-GB"/>
        </w:rPr>
        <w:t xml:space="preserve">. We have highlighted those options in colour. When you have chosen which option to go for, simply delete the other options (remember also to remove the letter “A”, “B” or “C” from the chosen option). </w:t>
      </w:r>
    </w:p>
    <w:p w14:paraId="4D10538D" w14:textId="066233F9" w:rsidR="00B72E63" w:rsidRDefault="00B72E63" w:rsidP="0019235A">
      <w:pPr>
        <w:pStyle w:val="BodyText"/>
        <w:rPr>
          <w:lang w:eastAsia="en-GB"/>
        </w:rPr>
      </w:pPr>
    </w:p>
    <w:p w14:paraId="00709294" w14:textId="4799E0E1" w:rsidR="00B72E63" w:rsidRPr="00CD127A" w:rsidRDefault="00B72E63" w:rsidP="0019235A">
      <w:pPr>
        <w:pStyle w:val="BodyText"/>
        <w:rPr>
          <w:lang w:eastAsia="en-GB"/>
        </w:rPr>
      </w:pPr>
      <w:r w:rsidRPr="00B96D36">
        <w:rPr>
          <w:b/>
          <w:lang w:eastAsia="en-GB"/>
        </w:rPr>
        <w:t xml:space="preserve">Conduct Regulations: </w:t>
      </w:r>
      <w:r>
        <w:rPr>
          <w:lang w:eastAsia="en-GB"/>
        </w:rPr>
        <w:t>If you only supply temporary workers who have opted out of the C</w:t>
      </w:r>
      <w:r w:rsidR="00E71AC6">
        <w:rPr>
          <w:lang w:eastAsia="en-GB"/>
        </w:rPr>
        <w:t>o</w:t>
      </w:r>
      <w:r>
        <w:rPr>
          <w:lang w:eastAsia="en-GB"/>
        </w:rPr>
        <w:t xml:space="preserve">nduct Regulations you can delete all provisions starting with "Where the Conduct Regulations apply". </w:t>
      </w:r>
    </w:p>
    <w:p w14:paraId="0655BABB" w14:textId="77777777" w:rsidR="00F66175" w:rsidRPr="00CD127A" w:rsidRDefault="00F66175" w:rsidP="0019235A">
      <w:pPr>
        <w:pStyle w:val="BodyText"/>
        <w:rPr>
          <w:b/>
          <w:lang w:eastAsia="en-GB"/>
        </w:rPr>
      </w:pPr>
    </w:p>
    <w:p w14:paraId="21E94844" w14:textId="77777777" w:rsidR="00F66175" w:rsidRPr="00CD127A" w:rsidRDefault="00F66175" w:rsidP="0019235A">
      <w:pPr>
        <w:pStyle w:val="BodyText"/>
        <w:rPr>
          <w:b/>
          <w:lang w:eastAsia="en-GB"/>
        </w:rPr>
      </w:pPr>
      <w:r w:rsidRPr="00CD127A">
        <w:rPr>
          <w:b/>
          <w:lang w:eastAsia="en-GB"/>
        </w:rPr>
        <w:t xml:space="preserve">Schedule 1: </w:t>
      </w:r>
      <w:r w:rsidRPr="00CD127A">
        <w:rPr>
          <w:lang w:eastAsia="en-GB"/>
        </w:rPr>
        <w:t>You need to complete the charge rates for the various types of temporary worker that you supply.</w:t>
      </w:r>
      <w:r w:rsidRPr="00CD127A">
        <w:rPr>
          <w:b/>
          <w:lang w:eastAsia="en-GB"/>
        </w:rPr>
        <w:t xml:space="preserve"> </w:t>
      </w:r>
    </w:p>
    <w:p w14:paraId="0D861240" w14:textId="77777777" w:rsidR="00F66175" w:rsidRPr="00CD127A" w:rsidRDefault="00F66175" w:rsidP="0019235A">
      <w:pPr>
        <w:pStyle w:val="BodyText"/>
        <w:rPr>
          <w:b/>
          <w:lang w:eastAsia="en-GB"/>
        </w:rPr>
      </w:pPr>
    </w:p>
    <w:p w14:paraId="6B76E7E8" w14:textId="2CC169F0" w:rsidR="00F66175" w:rsidRPr="00CD127A" w:rsidRDefault="00F66175" w:rsidP="0019235A">
      <w:pPr>
        <w:pStyle w:val="BodyText"/>
        <w:rPr>
          <w:lang w:eastAsia="en-GB"/>
        </w:rPr>
      </w:pPr>
      <w:r w:rsidRPr="00CD127A">
        <w:rPr>
          <w:b/>
          <w:lang w:eastAsia="en-GB"/>
        </w:rPr>
        <w:t>Schedule 2:</w:t>
      </w:r>
      <w:r w:rsidRPr="00CD127A">
        <w:rPr>
          <w:lang w:eastAsia="en-GB"/>
        </w:rPr>
        <w:t xml:space="preserve"> You will need to complete one of the options </w:t>
      </w:r>
      <w:r w:rsidR="00B52538">
        <w:rPr>
          <w:lang w:eastAsia="en-GB"/>
        </w:rPr>
        <w:t xml:space="preserve">for </w:t>
      </w:r>
      <w:r w:rsidRPr="00CD127A">
        <w:rPr>
          <w:lang w:eastAsia="en-GB"/>
        </w:rPr>
        <w:t xml:space="preserve"> the calculation of the transfer fee, with rates specific to your business, and a suitable period of extended hire in Schedule </w:t>
      </w:r>
      <w:r w:rsidR="00936C78">
        <w:rPr>
          <w:lang w:eastAsia="en-GB"/>
        </w:rPr>
        <w:t>2</w:t>
      </w:r>
      <w:r w:rsidRPr="00CD127A">
        <w:rPr>
          <w:lang w:eastAsia="en-GB"/>
        </w:rPr>
        <w:t>. All other options that are not appropriate within the Schedule</w:t>
      </w:r>
      <w:r w:rsidR="00936C78">
        <w:rPr>
          <w:lang w:eastAsia="en-GB"/>
        </w:rPr>
        <w:t xml:space="preserve"> </w:t>
      </w:r>
      <w:r w:rsidRPr="00CD127A">
        <w:rPr>
          <w:lang w:eastAsia="en-GB"/>
        </w:rPr>
        <w:t xml:space="preserve">must be deleted. </w:t>
      </w:r>
    </w:p>
    <w:p w14:paraId="4BAB9422" w14:textId="77777777" w:rsidR="00F66175" w:rsidRPr="00CD127A" w:rsidRDefault="00F66175" w:rsidP="0019235A">
      <w:pPr>
        <w:pStyle w:val="BodyText"/>
        <w:rPr>
          <w:lang w:eastAsia="en-GB"/>
        </w:rPr>
      </w:pPr>
    </w:p>
    <w:p w14:paraId="1F54A6E3" w14:textId="2170411E" w:rsidR="00F66175" w:rsidRDefault="003754B1" w:rsidP="0019235A">
      <w:pPr>
        <w:pStyle w:val="BodyText"/>
        <w:rPr>
          <w:lang w:eastAsia="en-GB"/>
        </w:rPr>
      </w:pPr>
      <w:bookmarkStart w:id="4" w:name="_Hlk50728678"/>
      <w:r>
        <w:rPr>
          <w:b/>
          <w:lang w:eastAsia="en-GB"/>
        </w:rPr>
        <w:t xml:space="preserve">Schedule 3: </w:t>
      </w:r>
      <w:r>
        <w:rPr>
          <w:lang w:eastAsia="en-GB"/>
        </w:rPr>
        <w:t xml:space="preserve">You can choose to include templates of the assignment details forms you will use , or you can </w:t>
      </w:r>
      <w:r w:rsidR="00B52538">
        <w:rPr>
          <w:lang w:eastAsia="en-GB"/>
        </w:rPr>
        <w:t>delete the</w:t>
      </w:r>
      <w:r>
        <w:rPr>
          <w:lang w:eastAsia="en-GB"/>
        </w:rPr>
        <w:t xml:space="preserve"> schedule. </w:t>
      </w:r>
      <w:bookmarkEnd w:id="4"/>
    </w:p>
    <w:p w14:paraId="3D72E5EA" w14:textId="77777777" w:rsidR="00894AFE" w:rsidRPr="00CD127A" w:rsidRDefault="00894AFE" w:rsidP="0019235A">
      <w:pPr>
        <w:pStyle w:val="BodyText"/>
        <w:rPr>
          <w:color w:val="009999"/>
        </w:rPr>
      </w:pPr>
    </w:p>
    <w:p w14:paraId="0D9302CC" w14:textId="77777777" w:rsidR="00F66175" w:rsidRPr="00CD127A" w:rsidRDefault="00F66175" w:rsidP="0019235A">
      <w:pPr>
        <w:pStyle w:val="BodyText"/>
        <w:rPr>
          <w:lang w:eastAsia="en-GB"/>
        </w:rPr>
      </w:pPr>
      <w:r w:rsidRPr="00CD127A">
        <w:rPr>
          <w:b/>
          <w:lang w:eastAsia="en-GB"/>
        </w:rPr>
        <w:t xml:space="preserve">Heading and copyright notice: </w:t>
      </w:r>
      <w:r w:rsidRPr="00CD127A">
        <w:rPr>
          <w:lang w:eastAsia="en-GB"/>
        </w:rPr>
        <w:t>These should be deleted from your document. To do this click on “View”, “Header &amp; Footer”, a separate toolbar opens allowing you to switch between the header and footer. Select wording in the header or footer and press “Delete”. Then click “Close” in the toolbar.</w:t>
      </w:r>
    </w:p>
    <w:p w14:paraId="57E2BC24" w14:textId="65795050" w:rsidR="003D0884" w:rsidRPr="003D0884" w:rsidRDefault="003D0884" w:rsidP="00FE1620">
      <w:pPr>
        <w:pStyle w:val="BodyText"/>
      </w:pPr>
    </w:p>
    <w:p w14:paraId="305893D6" w14:textId="77777777" w:rsidR="003D0884" w:rsidRPr="003D0884" w:rsidRDefault="003D0884" w:rsidP="00FE1620">
      <w:pPr>
        <w:pStyle w:val="BodyText"/>
      </w:pPr>
    </w:p>
    <w:p w14:paraId="1BB7FBB9" w14:textId="77777777" w:rsidR="006C268A" w:rsidRPr="000F0764" w:rsidRDefault="006C268A" w:rsidP="00FE1620">
      <w:pPr>
        <w:pStyle w:val="BodyText"/>
        <w:rPr>
          <w:sz w:val="22"/>
          <w:szCs w:val="22"/>
        </w:rPr>
      </w:pPr>
    </w:p>
    <w:p w14:paraId="7C40B6BB" w14:textId="0E337A8C" w:rsidR="006C268A" w:rsidRPr="00D863A5" w:rsidRDefault="006C268A" w:rsidP="00FE1620">
      <w:pPr>
        <w:pStyle w:val="IntroductionParagraph"/>
        <w:pBdr>
          <w:top w:val="single" w:sz="4" w:space="1" w:color="auto"/>
          <w:left w:val="single" w:sz="4" w:space="4" w:color="auto"/>
          <w:bottom w:val="single" w:sz="4" w:space="1" w:color="auto"/>
          <w:right w:val="single" w:sz="4" w:space="4" w:color="auto"/>
        </w:pBdr>
      </w:pPr>
      <w:r w:rsidRPr="000F0764">
        <w:t xml:space="preserve">REC </w:t>
      </w:r>
      <w:r w:rsidRPr="00D863A5">
        <w:t>template</w:t>
      </w:r>
      <w:r w:rsidRPr="000F0764">
        <w:t xml:space="preserve"> </w:t>
      </w:r>
      <w:r w:rsidRPr="00D863A5">
        <w:t>d</w:t>
      </w:r>
      <w:r w:rsidRPr="000F0764">
        <w:t xml:space="preserve">ocuments have been prepared exclusively for REC Corporate Members. You must not distribute these </w:t>
      </w:r>
      <w:r w:rsidRPr="00D863A5">
        <w:t>template d</w:t>
      </w:r>
      <w:r w:rsidRPr="000F0764">
        <w:t xml:space="preserve">ocuments to third parties except where you require them to complete the document. </w:t>
      </w:r>
    </w:p>
    <w:p w14:paraId="0D572103" w14:textId="77777777" w:rsidR="00F65E52" w:rsidRDefault="00F65E52" w:rsidP="00FE1620">
      <w:pPr>
        <w:rPr>
          <w:rFonts w:ascii="Lato" w:hAnsi="Lato" w:cs="Calibri"/>
          <w:color w:val="000000"/>
        </w:rPr>
        <w:sectPr w:rsidR="00F65E52" w:rsidSect="003D0884">
          <w:headerReference w:type="default" r:id="rId20"/>
          <w:footerReference w:type="default" r:id="rId21"/>
          <w:pgSz w:w="11906" w:h="16838"/>
          <w:pgMar w:top="2268" w:right="1440" w:bottom="1701" w:left="1440" w:header="709" w:footer="709" w:gutter="0"/>
          <w:cols w:space="708"/>
          <w:docGrid w:linePitch="360"/>
        </w:sectPr>
      </w:pPr>
    </w:p>
    <w:p w14:paraId="11B5A4F9" w14:textId="340C6C8B" w:rsidR="00855F75" w:rsidRPr="002C2D20" w:rsidRDefault="00704C12" w:rsidP="007D2B37">
      <w:pPr>
        <w:pStyle w:val="Heading1"/>
        <w:numPr>
          <w:ilvl w:val="0"/>
          <w:numId w:val="0"/>
        </w:numPr>
        <w:rPr>
          <w:highlight w:val="lightGray"/>
        </w:rPr>
      </w:pPr>
      <w:r>
        <w:lastRenderedPageBreak/>
        <w:t>Terms of business for the supply of temporary workers</w:t>
      </w:r>
    </w:p>
    <w:p w14:paraId="0C302A9E" w14:textId="77777777" w:rsidR="007D2B37" w:rsidRDefault="007D2B37" w:rsidP="002C2D20">
      <w:pPr>
        <w:pStyle w:val="BodyText"/>
      </w:pPr>
    </w:p>
    <w:p w14:paraId="0BF40BA9" w14:textId="33E8FC9F" w:rsidR="00704C12" w:rsidRDefault="00704C12" w:rsidP="002C2D20">
      <w:pPr>
        <w:pStyle w:val="BodyText"/>
      </w:pPr>
      <w:r w:rsidRPr="002C2D20">
        <w:t>The Parties</w:t>
      </w:r>
    </w:p>
    <w:p w14:paraId="7062EB02" w14:textId="77777777" w:rsidR="002C2D20" w:rsidRPr="002C2D20" w:rsidRDefault="002C2D20" w:rsidP="002C2D20">
      <w:pPr>
        <w:pStyle w:val="BodyText"/>
      </w:pPr>
    </w:p>
    <w:p w14:paraId="2C700E30" w14:textId="1DDEA064" w:rsidR="00704C12" w:rsidRDefault="00704C12" w:rsidP="002C2D20">
      <w:pPr>
        <w:pStyle w:val="BodyText"/>
      </w:pPr>
      <w:r w:rsidRPr="002C2D20">
        <w:t>Recitals</w:t>
      </w:r>
    </w:p>
    <w:p w14:paraId="00BBEF21" w14:textId="77777777" w:rsidR="002C2D20" w:rsidRPr="002C2D20" w:rsidRDefault="002C2D20" w:rsidP="002C2D20">
      <w:pPr>
        <w:pStyle w:val="BodyText"/>
      </w:pPr>
    </w:p>
    <w:p w14:paraId="61DD1F54" w14:textId="77777777" w:rsidR="00704C12" w:rsidRPr="002C2D20" w:rsidRDefault="00704C12" w:rsidP="00FE28C9">
      <w:pPr>
        <w:pStyle w:val="BodyText"/>
        <w:numPr>
          <w:ilvl w:val="0"/>
          <w:numId w:val="13"/>
        </w:numPr>
      </w:pPr>
      <w:r w:rsidRPr="002C2D20">
        <w:t xml:space="preserve">Definitions and interpretation </w:t>
      </w:r>
    </w:p>
    <w:p w14:paraId="7B07B5D3" w14:textId="77777777" w:rsidR="00704C12" w:rsidRPr="002C2D20" w:rsidRDefault="00704C12" w:rsidP="00FE28C9">
      <w:pPr>
        <w:pStyle w:val="BodyText"/>
        <w:numPr>
          <w:ilvl w:val="0"/>
          <w:numId w:val="13"/>
        </w:numPr>
      </w:pPr>
      <w:r w:rsidRPr="002C2D20">
        <w:t>The Agreement</w:t>
      </w:r>
    </w:p>
    <w:p w14:paraId="71D75776" w14:textId="77777777" w:rsidR="00704C12" w:rsidRPr="002C2D20" w:rsidRDefault="00704C12" w:rsidP="00FE28C9">
      <w:pPr>
        <w:pStyle w:val="BodyText"/>
        <w:numPr>
          <w:ilvl w:val="0"/>
          <w:numId w:val="13"/>
        </w:numPr>
      </w:pPr>
      <w:r w:rsidRPr="002C2D20">
        <w:t>The Client’s obligations</w:t>
      </w:r>
    </w:p>
    <w:p w14:paraId="6D4334CA" w14:textId="77777777" w:rsidR="00704C12" w:rsidRPr="002C2D20" w:rsidRDefault="00704C12" w:rsidP="00FE28C9">
      <w:pPr>
        <w:pStyle w:val="BodyText"/>
        <w:numPr>
          <w:ilvl w:val="0"/>
          <w:numId w:val="13"/>
        </w:numPr>
      </w:pPr>
      <w:r w:rsidRPr="002C2D20">
        <w:t xml:space="preserve">Information to be provided by the Employment Business </w:t>
      </w:r>
    </w:p>
    <w:p w14:paraId="464D0B04" w14:textId="77777777" w:rsidR="00704C12" w:rsidRPr="002C2D20" w:rsidRDefault="00704C12" w:rsidP="00FE28C9">
      <w:pPr>
        <w:pStyle w:val="BodyText"/>
        <w:numPr>
          <w:ilvl w:val="0"/>
          <w:numId w:val="13"/>
        </w:numPr>
      </w:pPr>
      <w:r w:rsidRPr="002C2D20">
        <w:t xml:space="preserve">Confirmation of delivery of the Assignment Services </w:t>
      </w:r>
    </w:p>
    <w:p w14:paraId="14AC6602" w14:textId="77777777" w:rsidR="00704C12" w:rsidRPr="002C2D20" w:rsidRDefault="00704C12" w:rsidP="00FE28C9">
      <w:pPr>
        <w:pStyle w:val="BodyText"/>
        <w:numPr>
          <w:ilvl w:val="0"/>
          <w:numId w:val="13"/>
        </w:numPr>
      </w:pPr>
      <w:r w:rsidRPr="002C2D20">
        <w:t>Charges</w:t>
      </w:r>
    </w:p>
    <w:p w14:paraId="34D20E21" w14:textId="6EA95A1F" w:rsidR="00704C12" w:rsidRPr="002C2D20" w:rsidRDefault="00704C12" w:rsidP="00FE28C9">
      <w:pPr>
        <w:pStyle w:val="BodyText"/>
        <w:numPr>
          <w:ilvl w:val="0"/>
          <w:numId w:val="13"/>
        </w:numPr>
      </w:pPr>
      <w:r w:rsidRPr="002C2D20">
        <w:t xml:space="preserve">Paying </w:t>
      </w:r>
      <w:r w:rsidR="00A14D0B">
        <w:t>a</w:t>
      </w:r>
      <w:r w:rsidR="00A14D0B" w:rsidRPr="002C2D20">
        <w:t xml:space="preserve"> </w:t>
      </w:r>
      <w:r w:rsidRPr="002C2D20">
        <w:t xml:space="preserve">Temporary Resource </w:t>
      </w:r>
    </w:p>
    <w:p w14:paraId="7974D2B0" w14:textId="77777777" w:rsidR="00704C12" w:rsidRPr="002C2D20" w:rsidRDefault="00704C12" w:rsidP="00FE28C9">
      <w:pPr>
        <w:pStyle w:val="BodyText"/>
        <w:numPr>
          <w:ilvl w:val="0"/>
          <w:numId w:val="13"/>
        </w:numPr>
      </w:pPr>
      <w:r w:rsidRPr="002C2D20">
        <w:t>Transfer Fees</w:t>
      </w:r>
    </w:p>
    <w:p w14:paraId="11C3ADD0" w14:textId="71F3493A" w:rsidR="00704C12" w:rsidRPr="002C2D20" w:rsidRDefault="00704C12" w:rsidP="00FE28C9">
      <w:pPr>
        <w:pStyle w:val="BodyText"/>
        <w:numPr>
          <w:ilvl w:val="0"/>
          <w:numId w:val="13"/>
        </w:numPr>
      </w:pPr>
      <w:bookmarkStart w:id="5" w:name="_Ref480445051"/>
      <w:r w:rsidRPr="002C2D20">
        <w:t xml:space="preserve">Unsuitability of </w:t>
      </w:r>
      <w:r w:rsidR="00A14D0B">
        <w:t>a</w:t>
      </w:r>
      <w:r w:rsidR="00A14D0B" w:rsidRPr="002C2D20">
        <w:t xml:space="preserve"> </w:t>
      </w:r>
      <w:r w:rsidRPr="002C2D20">
        <w:t xml:space="preserve">Temporary Resource </w:t>
      </w:r>
    </w:p>
    <w:p w14:paraId="1AEFD26A" w14:textId="77777777" w:rsidR="00704C12" w:rsidRPr="002C2D20" w:rsidRDefault="00704C12" w:rsidP="00FE28C9">
      <w:pPr>
        <w:pStyle w:val="BodyText"/>
        <w:numPr>
          <w:ilvl w:val="0"/>
          <w:numId w:val="13"/>
        </w:numPr>
      </w:pPr>
      <w:r w:rsidRPr="002C2D20">
        <w:t xml:space="preserve">Suitability checks and information to be provided in special situations </w:t>
      </w:r>
    </w:p>
    <w:p w14:paraId="7D67FBC7" w14:textId="1D4D1A8D" w:rsidR="00704C12" w:rsidRPr="002C2D20" w:rsidRDefault="00704C12" w:rsidP="00FE28C9">
      <w:pPr>
        <w:pStyle w:val="BodyText"/>
        <w:numPr>
          <w:ilvl w:val="0"/>
          <w:numId w:val="13"/>
        </w:numPr>
      </w:pPr>
      <w:r w:rsidRPr="002C2D20">
        <w:t xml:space="preserve">Termination of </w:t>
      </w:r>
      <w:r w:rsidR="00A14D0B">
        <w:t>an</w:t>
      </w:r>
      <w:r w:rsidR="00A14D0B" w:rsidRPr="002C2D20">
        <w:t xml:space="preserve"> </w:t>
      </w:r>
      <w:r w:rsidRPr="002C2D20">
        <w:t>Assignment</w:t>
      </w:r>
      <w:bookmarkEnd w:id="5"/>
    </w:p>
    <w:p w14:paraId="1933083E" w14:textId="77777777" w:rsidR="00704C12" w:rsidRPr="002C2D20" w:rsidRDefault="00704C12" w:rsidP="00FE28C9">
      <w:pPr>
        <w:pStyle w:val="BodyText"/>
        <w:numPr>
          <w:ilvl w:val="0"/>
          <w:numId w:val="13"/>
        </w:numPr>
      </w:pPr>
      <w:r w:rsidRPr="002C2D20">
        <w:t>Confidentiality and data protection</w:t>
      </w:r>
    </w:p>
    <w:p w14:paraId="55CFEB3E" w14:textId="77777777" w:rsidR="00704C12" w:rsidRPr="002C2D20" w:rsidRDefault="00704C12" w:rsidP="00FE28C9">
      <w:pPr>
        <w:pStyle w:val="BodyText"/>
        <w:numPr>
          <w:ilvl w:val="0"/>
          <w:numId w:val="13"/>
        </w:numPr>
      </w:pPr>
      <w:r w:rsidRPr="002C2D20">
        <w:t>Intellectual property rights</w:t>
      </w:r>
    </w:p>
    <w:p w14:paraId="2480969F" w14:textId="77777777" w:rsidR="00704C12" w:rsidRPr="002C2D20" w:rsidRDefault="00704C12" w:rsidP="00FE28C9">
      <w:pPr>
        <w:pStyle w:val="BodyText"/>
        <w:numPr>
          <w:ilvl w:val="0"/>
          <w:numId w:val="13"/>
        </w:numPr>
      </w:pPr>
      <w:r w:rsidRPr="002C2D20">
        <w:t>Liability</w:t>
      </w:r>
    </w:p>
    <w:p w14:paraId="741F1738" w14:textId="77777777" w:rsidR="00704C12" w:rsidRPr="002C2D20" w:rsidRDefault="00704C12" w:rsidP="00FE28C9">
      <w:pPr>
        <w:pStyle w:val="BodyText"/>
        <w:numPr>
          <w:ilvl w:val="0"/>
          <w:numId w:val="13"/>
        </w:numPr>
      </w:pPr>
      <w:r w:rsidRPr="002C2D20">
        <w:t>Notices</w:t>
      </w:r>
    </w:p>
    <w:p w14:paraId="67CAA7CB" w14:textId="77777777" w:rsidR="00704C12" w:rsidRPr="002C2D20" w:rsidRDefault="00704C12" w:rsidP="00FE28C9">
      <w:pPr>
        <w:pStyle w:val="BodyText"/>
        <w:numPr>
          <w:ilvl w:val="0"/>
          <w:numId w:val="13"/>
        </w:numPr>
      </w:pPr>
      <w:r w:rsidRPr="002C2D20">
        <w:t>Severability</w:t>
      </w:r>
    </w:p>
    <w:p w14:paraId="6493F8AD" w14:textId="77777777" w:rsidR="00704C12" w:rsidRPr="002C2D20" w:rsidRDefault="00704C12" w:rsidP="00FE28C9">
      <w:pPr>
        <w:pStyle w:val="BodyText"/>
        <w:numPr>
          <w:ilvl w:val="0"/>
          <w:numId w:val="13"/>
        </w:numPr>
      </w:pPr>
      <w:r w:rsidRPr="002C2D20">
        <w:t>Third party rights</w:t>
      </w:r>
    </w:p>
    <w:p w14:paraId="1BB7EE33" w14:textId="77777777" w:rsidR="00704C12" w:rsidRPr="002C2D20" w:rsidRDefault="00704C12" w:rsidP="00FE28C9">
      <w:pPr>
        <w:pStyle w:val="BodyText"/>
        <w:numPr>
          <w:ilvl w:val="0"/>
          <w:numId w:val="13"/>
        </w:numPr>
      </w:pPr>
      <w:r w:rsidRPr="002C2D20">
        <w:t>Governing law and jurisdiction</w:t>
      </w:r>
    </w:p>
    <w:p w14:paraId="7A39DCD6" w14:textId="4F86F22F" w:rsidR="00704C12" w:rsidRDefault="00704C12" w:rsidP="00FE1620">
      <w:pPr>
        <w:ind w:right="284"/>
        <w:rPr>
          <w:rFonts w:ascii="Lato" w:hAnsi="Lato"/>
          <w:b/>
        </w:rPr>
      </w:pPr>
    </w:p>
    <w:p w14:paraId="0705DDFA" w14:textId="71CD4B2F" w:rsidR="000221FE" w:rsidRDefault="000221FE" w:rsidP="002C2D20">
      <w:pPr>
        <w:pStyle w:val="BodyText"/>
      </w:pPr>
      <w:r>
        <w:t xml:space="preserve">Schedule 1 </w:t>
      </w:r>
      <w:r w:rsidR="00051768" w:rsidRPr="00FE1620">
        <w:rPr>
          <w:bCs/>
        </w:rPr>
        <w:t>–</w:t>
      </w:r>
      <w:r>
        <w:t xml:space="preserve"> Charges</w:t>
      </w:r>
    </w:p>
    <w:p w14:paraId="4F5C4C55" w14:textId="77777777" w:rsidR="002C2D20" w:rsidRDefault="002C2D20" w:rsidP="002C2D20">
      <w:pPr>
        <w:pStyle w:val="BodyText"/>
      </w:pPr>
    </w:p>
    <w:p w14:paraId="7C8EFAD0" w14:textId="7B79D9FF" w:rsidR="000221FE" w:rsidRDefault="000221FE" w:rsidP="002C2D20">
      <w:pPr>
        <w:pStyle w:val="BodyText"/>
      </w:pPr>
      <w:r>
        <w:t xml:space="preserve">Schedule 2 </w:t>
      </w:r>
      <w:r w:rsidR="00051768" w:rsidRPr="00FE1620">
        <w:rPr>
          <w:bCs/>
        </w:rPr>
        <w:t>–</w:t>
      </w:r>
      <w:r>
        <w:t xml:space="preserve"> Transfer Fees</w:t>
      </w:r>
    </w:p>
    <w:p w14:paraId="658562F2" w14:textId="77777777" w:rsidR="002C2D20" w:rsidRDefault="002C2D20" w:rsidP="002C2D20">
      <w:pPr>
        <w:pStyle w:val="BodyText"/>
      </w:pPr>
    </w:p>
    <w:p w14:paraId="499D6BEF" w14:textId="2E6062C4" w:rsidR="003754B1" w:rsidRDefault="003754B1" w:rsidP="002C2D20">
      <w:pPr>
        <w:pStyle w:val="BodyText"/>
      </w:pPr>
      <w:r w:rsidRPr="00FE1620">
        <w:rPr>
          <w:highlight w:val="lightGray"/>
        </w:rPr>
        <w:t xml:space="preserve">[Optional Schedule 3 </w:t>
      </w:r>
      <w:r w:rsidR="00051768" w:rsidRPr="00FE1620">
        <w:rPr>
          <w:bCs/>
        </w:rPr>
        <w:t>–</w:t>
      </w:r>
      <w:r w:rsidRPr="00FE1620">
        <w:rPr>
          <w:highlight w:val="lightGray"/>
        </w:rPr>
        <w:t xml:space="preserve"> Sample assignment details forms]</w:t>
      </w:r>
      <w:r>
        <w:t xml:space="preserve"> </w:t>
      </w:r>
    </w:p>
    <w:p w14:paraId="6B557375" w14:textId="77777777" w:rsidR="000221FE" w:rsidRDefault="000221FE" w:rsidP="00FE1620">
      <w:pPr>
        <w:ind w:right="284"/>
        <w:rPr>
          <w:rFonts w:ascii="Lato" w:hAnsi="Lato"/>
          <w:b/>
        </w:rPr>
      </w:pPr>
    </w:p>
    <w:p w14:paraId="18D9F46E" w14:textId="3C93984B" w:rsidR="00704C12" w:rsidRDefault="00704C12" w:rsidP="004564BD">
      <w:pPr>
        <w:pStyle w:val="Heading3"/>
        <w:numPr>
          <w:ilvl w:val="0"/>
          <w:numId w:val="0"/>
        </w:numPr>
        <w:ind w:left="720" w:hanging="720"/>
      </w:pPr>
      <w:r w:rsidRPr="00CD127A">
        <w:t>THE PARTIES</w:t>
      </w:r>
    </w:p>
    <w:p w14:paraId="0546395C" w14:textId="77777777" w:rsidR="00310BAA" w:rsidRPr="00310BAA" w:rsidRDefault="00310BAA" w:rsidP="00310BAA">
      <w:pPr>
        <w:pStyle w:val="BodyText"/>
      </w:pPr>
    </w:p>
    <w:p w14:paraId="246E77BA" w14:textId="11799240" w:rsidR="00704C12" w:rsidRDefault="00704C12" w:rsidP="00FE28C9">
      <w:pPr>
        <w:pStyle w:val="BodyText"/>
        <w:numPr>
          <w:ilvl w:val="0"/>
          <w:numId w:val="15"/>
        </w:numPr>
      </w:pPr>
      <w:r w:rsidRPr="00261217">
        <w:rPr>
          <w:highlight w:val="lightGray"/>
        </w:rPr>
        <w:t>[Insert your business name]</w:t>
      </w:r>
      <w:r w:rsidRPr="00261217">
        <w:t xml:space="preserve"> Limited (registered company no. </w:t>
      </w:r>
      <w:r w:rsidRPr="00261217">
        <w:rPr>
          <w:highlight w:val="lightGray"/>
        </w:rPr>
        <w:t>[insert registered company no.]</w:t>
      </w:r>
      <w:r w:rsidRPr="00261217">
        <w:t xml:space="preserve">) </w:t>
      </w:r>
      <w:r w:rsidRPr="00261217">
        <w:rPr>
          <w:highlight w:val="lightGray"/>
        </w:rPr>
        <w:t>[trading as [insert trading name if different]]</w:t>
      </w:r>
      <w:r w:rsidRPr="00261217">
        <w:t xml:space="preserve"> of </w:t>
      </w:r>
      <w:r w:rsidRPr="00261217">
        <w:rPr>
          <w:highlight w:val="lightGray"/>
        </w:rPr>
        <w:t xml:space="preserve">[address – </w:t>
      </w:r>
      <w:r w:rsidRPr="007F19F0">
        <w:rPr>
          <w:i/>
          <w:highlight w:val="lightGray"/>
        </w:rPr>
        <w:t>see Note 1</w:t>
      </w:r>
      <w:r w:rsidRPr="00261217">
        <w:rPr>
          <w:highlight w:val="lightGray"/>
        </w:rPr>
        <w:t>]</w:t>
      </w:r>
      <w:r w:rsidRPr="00261217">
        <w:t xml:space="preserve"> (</w:t>
      </w:r>
      <w:r w:rsidRPr="00B96D36">
        <w:rPr>
          <w:b/>
        </w:rPr>
        <w:t>“the Employment Business”</w:t>
      </w:r>
      <w:r w:rsidRPr="00261217">
        <w:t xml:space="preserve">). </w:t>
      </w:r>
      <w:r w:rsidRPr="00261217">
        <w:rPr>
          <w:highlight w:val="lightGray"/>
        </w:rPr>
        <w:t>[</w:t>
      </w:r>
      <w:r w:rsidRPr="00BD17B1">
        <w:rPr>
          <w:i/>
          <w:highlight w:val="lightGray"/>
        </w:rPr>
        <w:t>see Note 2</w:t>
      </w:r>
      <w:r w:rsidRPr="00261217">
        <w:rPr>
          <w:highlight w:val="lightGray"/>
        </w:rPr>
        <w:t xml:space="preserve"> if the Employment Business is a limited liability partnership]</w:t>
      </w:r>
      <w:r w:rsidRPr="00261217">
        <w:t xml:space="preserve"> </w:t>
      </w:r>
    </w:p>
    <w:p w14:paraId="7FEC5A91" w14:textId="77777777" w:rsidR="00936C78" w:rsidRPr="00261217" w:rsidRDefault="00936C78" w:rsidP="00936C78">
      <w:pPr>
        <w:pStyle w:val="BodyText"/>
        <w:ind w:left="360"/>
      </w:pPr>
    </w:p>
    <w:p w14:paraId="042B44CF" w14:textId="146AA2A7" w:rsidR="00310BAA" w:rsidRPr="00261217" w:rsidRDefault="00704C12" w:rsidP="00FE28C9">
      <w:pPr>
        <w:pStyle w:val="BodyText"/>
        <w:numPr>
          <w:ilvl w:val="0"/>
          <w:numId w:val="15"/>
        </w:numPr>
      </w:pPr>
      <w:r w:rsidRPr="00261217">
        <w:rPr>
          <w:highlight w:val="lightGray"/>
        </w:rPr>
        <w:t>[Insert Client’s name]</w:t>
      </w:r>
      <w:r w:rsidRPr="00261217">
        <w:t xml:space="preserve"> Limited (registered company no. </w:t>
      </w:r>
      <w:r w:rsidRPr="00261217">
        <w:rPr>
          <w:highlight w:val="lightGray"/>
        </w:rPr>
        <w:t>[insert registered company no.]</w:t>
      </w:r>
      <w:r w:rsidRPr="00261217">
        <w:t xml:space="preserve">) </w:t>
      </w:r>
      <w:r w:rsidRPr="00261217">
        <w:rPr>
          <w:highlight w:val="lightGray"/>
        </w:rPr>
        <w:t>[trading as [insert trading name if different]]</w:t>
      </w:r>
      <w:r w:rsidRPr="00261217">
        <w:t xml:space="preserve"> of </w:t>
      </w:r>
      <w:r w:rsidRPr="00261217">
        <w:rPr>
          <w:highlight w:val="lightGray"/>
        </w:rPr>
        <w:t xml:space="preserve">[address – </w:t>
      </w:r>
      <w:r w:rsidRPr="007F19F0">
        <w:rPr>
          <w:i/>
          <w:highlight w:val="lightGray"/>
        </w:rPr>
        <w:t>see Note 1</w:t>
      </w:r>
      <w:r w:rsidRPr="00261217">
        <w:rPr>
          <w:highlight w:val="lightGray"/>
        </w:rPr>
        <w:t>]</w:t>
      </w:r>
      <w:r w:rsidRPr="00261217">
        <w:t xml:space="preserve"> to whom the Temporary </w:t>
      </w:r>
      <w:r w:rsidR="00902CE2" w:rsidRPr="00261217">
        <w:t xml:space="preserve">Resource </w:t>
      </w:r>
      <w:r w:rsidRPr="00261217">
        <w:t xml:space="preserve">is Introduced. For the avoidance of doubt the Client shall also include any subsidiary or associated person, firm or corporate body (as the case may be) to whom the Temporary </w:t>
      </w:r>
      <w:r w:rsidR="00902CE2" w:rsidRPr="00261217">
        <w:t xml:space="preserve">Resource </w:t>
      </w:r>
      <w:r w:rsidRPr="00261217">
        <w:t>is Introduced (</w:t>
      </w:r>
      <w:r w:rsidRPr="00B96D36">
        <w:rPr>
          <w:b/>
        </w:rPr>
        <w:t>“the Client”</w:t>
      </w:r>
      <w:r w:rsidRPr="00261217">
        <w:t xml:space="preserve">). </w:t>
      </w:r>
      <w:r w:rsidRPr="00261217">
        <w:rPr>
          <w:highlight w:val="lightGray"/>
        </w:rPr>
        <w:t>[</w:t>
      </w:r>
      <w:r w:rsidR="00313511" w:rsidRPr="007F19F0">
        <w:rPr>
          <w:i/>
          <w:highlight w:val="lightGray"/>
        </w:rPr>
        <w:t>s</w:t>
      </w:r>
      <w:r w:rsidRPr="007F19F0">
        <w:rPr>
          <w:i/>
          <w:highlight w:val="lightGray"/>
        </w:rPr>
        <w:t>ee Note 3</w:t>
      </w:r>
      <w:r w:rsidRPr="00261217">
        <w:rPr>
          <w:highlight w:val="lightGray"/>
        </w:rPr>
        <w:t>]</w:t>
      </w:r>
    </w:p>
    <w:p w14:paraId="73F768B4" w14:textId="02559422" w:rsidR="00704C12" w:rsidRDefault="00704C12" w:rsidP="007035C9">
      <w:pPr>
        <w:pStyle w:val="Heading3"/>
        <w:numPr>
          <w:ilvl w:val="0"/>
          <w:numId w:val="0"/>
        </w:numPr>
        <w:ind w:left="720" w:hanging="720"/>
      </w:pPr>
      <w:r w:rsidRPr="005E361C">
        <w:t>RECITALS</w:t>
      </w:r>
    </w:p>
    <w:p w14:paraId="28209DD8" w14:textId="77777777" w:rsidR="00261217" w:rsidRPr="00261217" w:rsidRDefault="00261217" w:rsidP="00261217">
      <w:pPr>
        <w:pStyle w:val="BodyText"/>
      </w:pPr>
    </w:p>
    <w:p w14:paraId="7578C1AA" w14:textId="59EE9664" w:rsidR="00704C12" w:rsidRDefault="00704C12" w:rsidP="00FE28C9">
      <w:pPr>
        <w:pStyle w:val="BodyText"/>
        <w:numPr>
          <w:ilvl w:val="0"/>
          <w:numId w:val="14"/>
        </w:numPr>
      </w:pPr>
      <w:r w:rsidRPr="00524425">
        <w:t xml:space="preserve">The Employment Business carries on the business of sourcing and supplying temporary workers to provide services to its clients.  Those temporary workers may be engaged directly by the Employment Business or through Intermediaries. The Client has instructed the </w:t>
      </w:r>
      <w:r w:rsidRPr="00524425">
        <w:lastRenderedPageBreak/>
        <w:t xml:space="preserve">Employment Business to supply temporary workers to provide services, as specified in the relevant Assignment Details Form (“the Assignment Services”). </w:t>
      </w:r>
    </w:p>
    <w:p w14:paraId="332AA863" w14:textId="77777777" w:rsidR="00936C78" w:rsidRPr="00524425" w:rsidRDefault="00936C78" w:rsidP="00936C78">
      <w:pPr>
        <w:pStyle w:val="BodyText"/>
        <w:ind w:left="360"/>
      </w:pPr>
    </w:p>
    <w:p w14:paraId="34AA95C3" w14:textId="426197A5" w:rsidR="00704C12" w:rsidRPr="00524425" w:rsidRDefault="00704C12" w:rsidP="00B759E6">
      <w:pPr>
        <w:pStyle w:val="BodyText"/>
        <w:numPr>
          <w:ilvl w:val="0"/>
          <w:numId w:val="14"/>
        </w:numPr>
        <w:ind w:left="714" w:hanging="357"/>
      </w:pPr>
      <w:r w:rsidRPr="00524425">
        <w:t xml:space="preserve">The Employment Business will introduce Temporary Resources to the Client to provide the Assignment Services to the Client </w:t>
      </w:r>
      <w:r w:rsidR="000E4476">
        <w:t xml:space="preserve">under the terms </w:t>
      </w:r>
      <w:r w:rsidRPr="00524425">
        <w:t>this Agreement.</w:t>
      </w:r>
    </w:p>
    <w:p w14:paraId="0F402F30" w14:textId="77777777" w:rsidR="00704C12" w:rsidRPr="00CD127A" w:rsidRDefault="00704C12" w:rsidP="00FE1620">
      <w:pPr>
        <w:tabs>
          <w:tab w:val="left" w:pos="1122"/>
        </w:tabs>
        <w:ind w:left="1117" w:right="284"/>
        <w:rPr>
          <w:rFonts w:ascii="Lato" w:hAnsi="Lato"/>
        </w:rPr>
      </w:pPr>
    </w:p>
    <w:p w14:paraId="51B5C50D" w14:textId="77777777" w:rsidR="00704C12" w:rsidRPr="009C2D3F" w:rsidRDefault="00704C12" w:rsidP="00FE1620">
      <w:pPr>
        <w:ind w:left="720" w:right="284" w:hanging="720"/>
        <w:rPr>
          <w:rFonts w:ascii="Lato" w:hAnsi="Lato"/>
          <w:sz w:val="20"/>
          <w:szCs w:val="20"/>
        </w:rPr>
      </w:pPr>
      <w:r w:rsidRPr="009C2D3F">
        <w:rPr>
          <w:rFonts w:ascii="Lato" w:hAnsi="Lato"/>
          <w:b/>
          <w:sz w:val="20"/>
          <w:szCs w:val="20"/>
        </w:rPr>
        <w:t xml:space="preserve">IT IS AGREED </w:t>
      </w:r>
      <w:r w:rsidRPr="009C2D3F">
        <w:rPr>
          <w:rFonts w:ascii="Lato" w:hAnsi="Lato"/>
          <w:sz w:val="20"/>
          <w:szCs w:val="20"/>
        </w:rPr>
        <w:t xml:space="preserve">as follows: </w:t>
      </w:r>
    </w:p>
    <w:p w14:paraId="2F69899E" w14:textId="77777777" w:rsidR="003F5F41" w:rsidRDefault="00704C12" w:rsidP="00FE28C9">
      <w:pPr>
        <w:pStyle w:val="Heading3"/>
        <w:numPr>
          <w:ilvl w:val="0"/>
          <w:numId w:val="16"/>
        </w:numPr>
      </w:pPr>
      <w:r w:rsidRPr="009C2D3F">
        <w:t>DEFINITIONS AND INTERPRETATION</w:t>
      </w:r>
    </w:p>
    <w:p w14:paraId="7B9E6B1E" w14:textId="0388BA8E" w:rsidR="00704C12" w:rsidRPr="00DF17BD" w:rsidRDefault="00704C12" w:rsidP="00FE28C9">
      <w:pPr>
        <w:pStyle w:val="Heading3"/>
        <w:numPr>
          <w:ilvl w:val="1"/>
          <w:numId w:val="16"/>
        </w:numPr>
        <w:rPr>
          <w:color w:val="auto"/>
        </w:rPr>
      </w:pPr>
      <w:r w:rsidRPr="00DF17BD">
        <w:rPr>
          <w:color w:val="auto"/>
          <w:sz w:val="20"/>
          <w:szCs w:val="20"/>
        </w:rPr>
        <w:t>In this Agreement the following definitions apply:</w:t>
      </w:r>
    </w:p>
    <w:p w14:paraId="0780551D" w14:textId="77777777" w:rsidR="00704C12" w:rsidRPr="009C2D3F" w:rsidRDefault="00704C12" w:rsidP="00FE1620">
      <w:pPr>
        <w:ind w:left="357" w:right="284"/>
        <w:rPr>
          <w:rFonts w:ascii="Lato" w:hAnsi="Lato"/>
          <w:sz w:val="20"/>
          <w:szCs w:val="20"/>
        </w:rPr>
      </w:pPr>
    </w:p>
    <w:p w14:paraId="614DECB6" w14:textId="062E335D" w:rsidR="00704C12" w:rsidRDefault="00704C12" w:rsidP="00161019">
      <w:pPr>
        <w:tabs>
          <w:tab w:val="left" w:pos="374"/>
        </w:tabs>
        <w:spacing w:after="0" w:line="240" w:lineRule="auto"/>
        <w:ind w:left="3759" w:right="284" w:hanging="3333"/>
        <w:rPr>
          <w:rFonts w:ascii="Lato" w:hAnsi="Lato"/>
          <w:sz w:val="20"/>
          <w:szCs w:val="20"/>
        </w:rPr>
      </w:pPr>
      <w:r w:rsidRPr="009C2D3F">
        <w:rPr>
          <w:rFonts w:ascii="Lato" w:hAnsi="Lato"/>
          <w:b/>
          <w:sz w:val="20"/>
          <w:szCs w:val="20"/>
        </w:rPr>
        <w:t>“</w:t>
      </w:r>
      <w:r w:rsidR="00304D2E">
        <w:rPr>
          <w:rFonts w:ascii="Lato" w:hAnsi="Lato"/>
          <w:b/>
          <w:sz w:val="20"/>
          <w:szCs w:val="20"/>
        </w:rPr>
        <w:t>Agency Worker</w:t>
      </w:r>
      <w:r w:rsidRPr="009C2D3F">
        <w:rPr>
          <w:rFonts w:ascii="Lato" w:hAnsi="Lato"/>
          <w:b/>
          <w:sz w:val="20"/>
          <w:szCs w:val="20"/>
        </w:rPr>
        <w:t>”</w:t>
      </w:r>
      <w:r w:rsidRPr="009C2D3F">
        <w:rPr>
          <w:rFonts w:ascii="Lato" w:hAnsi="Lato"/>
          <w:sz w:val="20"/>
          <w:szCs w:val="20"/>
        </w:rPr>
        <w:tab/>
        <w:t xml:space="preserve">means (for the purposes of </w:t>
      </w:r>
      <w:proofErr w:type="spellStart"/>
      <w:r w:rsidRPr="009C2D3F">
        <w:rPr>
          <w:rFonts w:ascii="Lato" w:hAnsi="Lato"/>
          <w:sz w:val="20"/>
          <w:szCs w:val="20"/>
        </w:rPr>
        <w:t>AWR</w:t>
      </w:r>
      <w:proofErr w:type="spellEnd"/>
      <w:r w:rsidRPr="009C2D3F">
        <w:rPr>
          <w:rFonts w:ascii="Lato" w:hAnsi="Lato"/>
          <w:sz w:val="20"/>
          <w:szCs w:val="20"/>
        </w:rPr>
        <w:t xml:space="preserve">) a Temporary Resource who meets the definition of </w:t>
      </w:r>
      <w:r w:rsidR="00304D2E">
        <w:rPr>
          <w:rFonts w:ascii="Lato" w:hAnsi="Lato"/>
          <w:sz w:val="20"/>
          <w:szCs w:val="20"/>
        </w:rPr>
        <w:t>Agency Worker</w:t>
      </w:r>
      <w:r w:rsidRPr="009C2D3F">
        <w:rPr>
          <w:rFonts w:ascii="Lato" w:hAnsi="Lato"/>
          <w:sz w:val="20"/>
          <w:szCs w:val="20"/>
        </w:rPr>
        <w:t xml:space="preserve"> as set out in Regulation 3 of the </w:t>
      </w:r>
      <w:proofErr w:type="spellStart"/>
      <w:r w:rsidRPr="009C2D3F">
        <w:rPr>
          <w:rFonts w:ascii="Lato" w:hAnsi="Lato"/>
          <w:sz w:val="20"/>
          <w:szCs w:val="20"/>
        </w:rPr>
        <w:t>AWR</w:t>
      </w:r>
      <w:proofErr w:type="spellEnd"/>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 5</w:t>
      </w:r>
      <w:r w:rsidRPr="009C2D3F">
        <w:rPr>
          <w:rFonts w:ascii="Lato" w:hAnsi="Lato"/>
          <w:sz w:val="20"/>
          <w:szCs w:val="20"/>
          <w:highlight w:val="lightGray"/>
        </w:rPr>
        <w:t>]</w:t>
      </w:r>
    </w:p>
    <w:p w14:paraId="3575331A" w14:textId="77777777" w:rsidR="00161019" w:rsidRPr="009C2D3F" w:rsidRDefault="00161019" w:rsidP="00B759E6">
      <w:pPr>
        <w:tabs>
          <w:tab w:val="left" w:pos="374"/>
        </w:tabs>
        <w:spacing w:after="0" w:line="240" w:lineRule="auto"/>
        <w:ind w:left="3759" w:right="284" w:hanging="3333"/>
        <w:rPr>
          <w:rFonts w:ascii="Lato" w:hAnsi="Lato"/>
          <w:sz w:val="20"/>
          <w:szCs w:val="20"/>
        </w:rPr>
      </w:pPr>
    </w:p>
    <w:p w14:paraId="6F2233AA" w14:textId="6C364EC0" w:rsidR="00704C12" w:rsidRDefault="00704C12" w:rsidP="00161019">
      <w:pPr>
        <w:tabs>
          <w:tab w:val="left" w:pos="3686"/>
        </w:tabs>
        <w:spacing w:after="0" w:line="240" w:lineRule="auto"/>
        <w:ind w:left="3742" w:right="284" w:hanging="3402"/>
        <w:rPr>
          <w:rFonts w:ascii="Lato" w:hAnsi="Lato"/>
          <w:sz w:val="20"/>
          <w:szCs w:val="20"/>
        </w:rPr>
      </w:pPr>
      <w:r w:rsidRPr="009C2D3F">
        <w:rPr>
          <w:rFonts w:ascii="Lato" w:hAnsi="Lato"/>
          <w:b/>
          <w:sz w:val="20"/>
          <w:szCs w:val="20"/>
        </w:rPr>
        <w:t>“Apprenticeship Levy”</w:t>
      </w:r>
      <w:r w:rsidRPr="009C2D3F">
        <w:rPr>
          <w:rFonts w:ascii="Lato" w:hAnsi="Lato"/>
          <w:sz w:val="20"/>
          <w:szCs w:val="20"/>
        </w:rPr>
        <w:tab/>
        <w:t xml:space="preserve"> means the apprenticeship levy due in accordance with the Finance Act 2017 and the Income Tax (Pay as you Earn) (Amendment) Regulations 2017; </w:t>
      </w:r>
      <w:r w:rsidRPr="009C2D3F">
        <w:rPr>
          <w:rFonts w:ascii="Lato" w:hAnsi="Lato"/>
          <w:sz w:val="20"/>
          <w:szCs w:val="20"/>
          <w:highlight w:val="lightGray"/>
        </w:rPr>
        <w:t>[</w:t>
      </w:r>
      <w:r w:rsidRPr="009C2D3F">
        <w:rPr>
          <w:rFonts w:ascii="Lato" w:hAnsi="Lato"/>
          <w:i/>
          <w:sz w:val="20"/>
          <w:szCs w:val="20"/>
          <w:highlight w:val="lightGray"/>
        </w:rPr>
        <w:t>see Note 4</w:t>
      </w:r>
      <w:r w:rsidRPr="009C2D3F">
        <w:rPr>
          <w:rFonts w:ascii="Lato" w:hAnsi="Lato"/>
          <w:sz w:val="20"/>
          <w:szCs w:val="20"/>
          <w:highlight w:val="lightGray"/>
        </w:rPr>
        <w:t>]</w:t>
      </w:r>
      <w:r w:rsidRPr="009C2D3F">
        <w:rPr>
          <w:rFonts w:ascii="Lato" w:hAnsi="Lato"/>
          <w:sz w:val="20"/>
          <w:szCs w:val="20"/>
        </w:rPr>
        <w:t xml:space="preserve"> </w:t>
      </w:r>
    </w:p>
    <w:p w14:paraId="7A780193" w14:textId="77777777" w:rsidR="00161019" w:rsidRPr="009C2D3F" w:rsidRDefault="00161019" w:rsidP="00B759E6">
      <w:pPr>
        <w:tabs>
          <w:tab w:val="left" w:pos="3686"/>
        </w:tabs>
        <w:spacing w:after="0" w:line="240" w:lineRule="auto"/>
        <w:ind w:left="3742" w:right="284" w:hanging="3402"/>
        <w:rPr>
          <w:rFonts w:ascii="Lato" w:hAnsi="Lato"/>
          <w:sz w:val="20"/>
          <w:szCs w:val="20"/>
        </w:rPr>
      </w:pPr>
    </w:p>
    <w:p w14:paraId="3AABA5AC" w14:textId="68E15EE8"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“Assignment”</w:t>
      </w:r>
      <w:r w:rsidRPr="009C2D3F">
        <w:rPr>
          <w:rFonts w:ascii="Lato" w:hAnsi="Lato"/>
          <w:b/>
          <w:sz w:val="20"/>
          <w:szCs w:val="20"/>
        </w:rPr>
        <w:tab/>
      </w:r>
      <w:r w:rsidRPr="009C2D3F">
        <w:rPr>
          <w:rFonts w:ascii="Lato" w:hAnsi="Lato"/>
          <w:sz w:val="20"/>
          <w:szCs w:val="20"/>
        </w:rPr>
        <w:t>means the period of time during which a Temporary Resource is supplied by the Employment Business to the Client;</w:t>
      </w:r>
    </w:p>
    <w:p w14:paraId="2902E9E3" w14:textId="77777777" w:rsidR="00161019" w:rsidRPr="009C2D3F" w:rsidRDefault="00161019" w:rsidP="00B759E6">
      <w:pPr>
        <w:spacing w:after="0" w:line="240" w:lineRule="auto"/>
        <w:ind w:left="3776" w:right="284" w:hanging="3402"/>
        <w:rPr>
          <w:rFonts w:ascii="Lato" w:hAnsi="Lato"/>
          <w:sz w:val="20"/>
          <w:szCs w:val="20"/>
        </w:rPr>
      </w:pPr>
    </w:p>
    <w:p w14:paraId="173D9CEC" w14:textId="6FD369C0" w:rsidR="00704C12" w:rsidRDefault="00704C12" w:rsidP="00161019">
      <w:pPr>
        <w:tabs>
          <w:tab w:val="left" w:pos="1122"/>
          <w:tab w:val="left" w:pos="1309"/>
        </w:tabs>
        <w:spacing w:after="0" w:line="240" w:lineRule="auto"/>
        <w:ind w:left="3776" w:right="284" w:hanging="3402"/>
        <w:rPr>
          <w:rFonts w:ascii="Lato" w:hAnsi="Lato"/>
          <w:sz w:val="20"/>
          <w:szCs w:val="20"/>
        </w:rPr>
      </w:pPr>
      <w:r w:rsidRPr="009C2D3F">
        <w:rPr>
          <w:rFonts w:ascii="Lato" w:hAnsi="Lato"/>
          <w:b/>
          <w:sz w:val="20"/>
          <w:szCs w:val="20"/>
        </w:rPr>
        <w:t>“Assignment Details Form</w:t>
      </w:r>
      <w:bookmarkStart w:id="6" w:name="_Hlk48121175"/>
      <w:r w:rsidRPr="009C2D3F">
        <w:rPr>
          <w:rFonts w:ascii="Lato" w:hAnsi="Lato"/>
          <w:b/>
          <w:sz w:val="20"/>
          <w:szCs w:val="20"/>
        </w:rPr>
        <w:t>”</w:t>
      </w:r>
      <w:bookmarkEnd w:id="6"/>
      <w:r w:rsidRPr="009C2D3F">
        <w:rPr>
          <w:rFonts w:ascii="Lato" w:hAnsi="Lato"/>
          <w:sz w:val="20"/>
          <w:szCs w:val="20"/>
        </w:rPr>
        <w:tab/>
        <w:t xml:space="preserve">means the assignment details set out in </w:t>
      </w:r>
      <w:r w:rsidR="00DF17BD" w:rsidRPr="009C2D3F">
        <w:rPr>
          <w:rFonts w:ascii="Lato" w:hAnsi="Lato"/>
          <w:sz w:val="20"/>
          <w:szCs w:val="20"/>
        </w:rPr>
        <w:t>writing</w:t>
      </w:r>
      <w:r w:rsidRPr="009C2D3F">
        <w:rPr>
          <w:rFonts w:ascii="Lato" w:hAnsi="Lato"/>
          <w:sz w:val="20"/>
          <w:szCs w:val="20"/>
        </w:rPr>
        <w:t>;</w:t>
      </w:r>
    </w:p>
    <w:p w14:paraId="1C8CE51C" w14:textId="77777777" w:rsidR="00161019" w:rsidRDefault="00161019" w:rsidP="00B759E6">
      <w:pPr>
        <w:tabs>
          <w:tab w:val="left" w:pos="1122"/>
          <w:tab w:val="left" w:pos="1309"/>
        </w:tabs>
        <w:spacing w:after="0" w:line="240" w:lineRule="auto"/>
        <w:ind w:left="3776" w:right="284" w:hanging="3402"/>
        <w:rPr>
          <w:rFonts w:ascii="Lato" w:hAnsi="Lato"/>
          <w:sz w:val="20"/>
          <w:szCs w:val="20"/>
        </w:rPr>
      </w:pPr>
    </w:p>
    <w:p w14:paraId="58B8B5EF" w14:textId="009E6C72" w:rsidR="00E71AC6" w:rsidRDefault="00E71AC6" w:rsidP="00161019">
      <w:pPr>
        <w:tabs>
          <w:tab w:val="left" w:pos="1122"/>
          <w:tab w:val="left" w:pos="1309"/>
        </w:tabs>
        <w:spacing w:after="0" w:line="240" w:lineRule="auto"/>
        <w:ind w:left="3776" w:right="284" w:hanging="3402"/>
        <w:rPr>
          <w:rFonts w:ascii="Lato" w:hAnsi="Lato"/>
          <w:sz w:val="20"/>
          <w:szCs w:val="20"/>
        </w:rPr>
      </w:pPr>
      <w:r w:rsidRPr="009C2D3F">
        <w:rPr>
          <w:rFonts w:ascii="Lato" w:hAnsi="Lato"/>
          <w:b/>
          <w:sz w:val="20"/>
          <w:szCs w:val="20"/>
        </w:rPr>
        <w:t>“</w:t>
      </w:r>
      <w:r>
        <w:rPr>
          <w:rFonts w:ascii="Lato" w:hAnsi="Lato"/>
          <w:b/>
          <w:sz w:val="20"/>
          <w:szCs w:val="20"/>
        </w:rPr>
        <w:t>Assignment Services</w:t>
      </w:r>
      <w:r w:rsidRPr="009C2D3F">
        <w:rPr>
          <w:rFonts w:ascii="Lato" w:hAnsi="Lato"/>
          <w:b/>
          <w:sz w:val="20"/>
          <w:szCs w:val="20"/>
        </w:rPr>
        <w:t>”</w:t>
      </w:r>
      <w:r>
        <w:rPr>
          <w:rFonts w:ascii="Lato" w:hAnsi="Lato"/>
          <w:b/>
          <w:sz w:val="20"/>
          <w:szCs w:val="20"/>
        </w:rPr>
        <w:tab/>
      </w:r>
      <w:r>
        <w:rPr>
          <w:rFonts w:ascii="Lato" w:hAnsi="Lato"/>
          <w:sz w:val="20"/>
          <w:szCs w:val="20"/>
        </w:rPr>
        <w:t xml:space="preserve">means the services </w:t>
      </w:r>
      <w:r w:rsidR="00C34448">
        <w:rPr>
          <w:rFonts w:ascii="Lato" w:hAnsi="Lato"/>
          <w:sz w:val="20"/>
          <w:szCs w:val="20"/>
        </w:rPr>
        <w:t>to</w:t>
      </w:r>
      <w:r>
        <w:rPr>
          <w:rFonts w:ascii="Lato" w:hAnsi="Lato"/>
          <w:sz w:val="20"/>
          <w:szCs w:val="20"/>
        </w:rPr>
        <w:t xml:space="preserve"> be provided or the </w:t>
      </w:r>
      <w:r w:rsidR="00C34448">
        <w:rPr>
          <w:rFonts w:ascii="Lato" w:hAnsi="Lato"/>
          <w:sz w:val="20"/>
          <w:szCs w:val="20"/>
        </w:rPr>
        <w:t xml:space="preserve">Specified Deliverables </w:t>
      </w:r>
      <w:r>
        <w:rPr>
          <w:rFonts w:ascii="Lato" w:hAnsi="Lato"/>
          <w:sz w:val="20"/>
          <w:szCs w:val="20"/>
        </w:rPr>
        <w:t>to be delivered by the Temporary Resource;</w:t>
      </w:r>
    </w:p>
    <w:p w14:paraId="58B2FD52" w14:textId="77777777" w:rsidR="00161019" w:rsidRPr="00B96D36" w:rsidRDefault="00161019" w:rsidP="00B759E6">
      <w:pPr>
        <w:tabs>
          <w:tab w:val="left" w:pos="1122"/>
          <w:tab w:val="left" w:pos="1309"/>
        </w:tabs>
        <w:spacing w:after="0" w:line="240" w:lineRule="auto"/>
        <w:ind w:left="3776" w:right="284" w:hanging="3402"/>
        <w:rPr>
          <w:rFonts w:ascii="Lato" w:hAnsi="Lato"/>
          <w:sz w:val="20"/>
          <w:szCs w:val="20"/>
        </w:rPr>
      </w:pPr>
    </w:p>
    <w:p w14:paraId="419EC41F" w14:textId="643E2E79" w:rsidR="00704C12" w:rsidRDefault="00704C12" w:rsidP="00161019">
      <w:pPr>
        <w:tabs>
          <w:tab w:val="left" w:pos="1122"/>
          <w:tab w:val="left" w:pos="1309"/>
        </w:tabs>
        <w:spacing w:after="0" w:line="240" w:lineRule="auto"/>
        <w:ind w:left="3776" w:right="284" w:hanging="3402"/>
        <w:rPr>
          <w:rFonts w:ascii="Lato" w:hAnsi="Lato"/>
          <w:bCs/>
          <w:sz w:val="20"/>
          <w:szCs w:val="20"/>
        </w:rPr>
      </w:pPr>
      <w:r w:rsidRPr="009C2D3F">
        <w:rPr>
          <w:rFonts w:ascii="Lato" w:hAnsi="Lato"/>
          <w:b/>
          <w:bCs/>
          <w:sz w:val="20"/>
          <w:szCs w:val="20"/>
        </w:rPr>
        <w:t>“</w:t>
      </w:r>
      <w:proofErr w:type="spellStart"/>
      <w:r w:rsidRPr="009C2D3F">
        <w:rPr>
          <w:rFonts w:ascii="Lato" w:hAnsi="Lato"/>
          <w:b/>
          <w:bCs/>
          <w:sz w:val="20"/>
          <w:szCs w:val="20"/>
        </w:rPr>
        <w:t>AWR</w:t>
      </w:r>
      <w:proofErr w:type="spellEnd"/>
      <w:r w:rsidRPr="009C2D3F">
        <w:rPr>
          <w:rFonts w:ascii="Lato" w:hAnsi="Lato"/>
          <w:b/>
          <w:bCs/>
          <w:sz w:val="20"/>
          <w:szCs w:val="20"/>
        </w:rPr>
        <w:t>”</w:t>
      </w:r>
      <w:r w:rsidRPr="009C2D3F">
        <w:rPr>
          <w:rFonts w:ascii="Lato" w:hAnsi="Lato"/>
          <w:b/>
          <w:bCs/>
          <w:sz w:val="20"/>
          <w:szCs w:val="20"/>
        </w:rPr>
        <w:tab/>
      </w:r>
      <w:r w:rsidRPr="009C2D3F">
        <w:rPr>
          <w:rFonts w:ascii="Lato" w:hAnsi="Lato"/>
          <w:b/>
          <w:bCs/>
          <w:sz w:val="20"/>
          <w:szCs w:val="20"/>
        </w:rPr>
        <w:tab/>
      </w:r>
      <w:r w:rsidRPr="009C2D3F">
        <w:rPr>
          <w:rFonts w:ascii="Lato" w:hAnsi="Lato"/>
          <w:b/>
          <w:bCs/>
          <w:sz w:val="20"/>
          <w:szCs w:val="20"/>
        </w:rPr>
        <w:tab/>
      </w:r>
      <w:r w:rsidRPr="009C2D3F">
        <w:rPr>
          <w:rFonts w:ascii="Lato" w:hAnsi="Lato"/>
          <w:bCs/>
          <w:sz w:val="20"/>
          <w:szCs w:val="20"/>
        </w:rPr>
        <w:t xml:space="preserve">means the </w:t>
      </w:r>
      <w:r w:rsidR="00304D2E">
        <w:rPr>
          <w:rFonts w:ascii="Lato" w:hAnsi="Lato"/>
          <w:bCs/>
          <w:sz w:val="20"/>
          <w:szCs w:val="20"/>
        </w:rPr>
        <w:t>Agency Worker</w:t>
      </w:r>
      <w:r w:rsidRPr="009C2D3F">
        <w:rPr>
          <w:rFonts w:ascii="Lato" w:hAnsi="Lato"/>
          <w:bCs/>
          <w:sz w:val="20"/>
          <w:szCs w:val="20"/>
        </w:rPr>
        <w:t xml:space="preserve">s Regulations 2010 </w:t>
      </w:r>
      <w:r w:rsidRPr="009C2D3F">
        <w:rPr>
          <w:rFonts w:ascii="Lato" w:hAnsi="Lato"/>
          <w:bCs/>
          <w:sz w:val="20"/>
          <w:szCs w:val="20"/>
          <w:highlight w:val="lightGray"/>
        </w:rPr>
        <w:t xml:space="preserve">[and/or the </w:t>
      </w:r>
      <w:r w:rsidR="00304D2E">
        <w:rPr>
          <w:rFonts w:ascii="Lato" w:hAnsi="Lato"/>
          <w:bCs/>
          <w:sz w:val="20"/>
          <w:szCs w:val="20"/>
          <w:highlight w:val="lightGray"/>
        </w:rPr>
        <w:t>Agency Worker</w:t>
      </w:r>
      <w:r w:rsidRPr="009C2D3F">
        <w:rPr>
          <w:rFonts w:ascii="Lato" w:hAnsi="Lato"/>
          <w:bCs/>
          <w:sz w:val="20"/>
          <w:szCs w:val="20"/>
          <w:highlight w:val="lightGray"/>
        </w:rPr>
        <w:t>s (Northern Ireland) Regulations 2011]</w:t>
      </w:r>
      <w:r w:rsidRPr="009C2D3F">
        <w:rPr>
          <w:rFonts w:ascii="Lato" w:hAnsi="Lato"/>
          <w:bCs/>
          <w:sz w:val="20"/>
          <w:szCs w:val="20"/>
        </w:rPr>
        <w:t xml:space="preserve">; </w:t>
      </w:r>
      <w:r w:rsidRPr="009C2D3F">
        <w:rPr>
          <w:rFonts w:ascii="Lato" w:hAnsi="Lato"/>
          <w:bCs/>
          <w:sz w:val="20"/>
          <w:szCs w:val="20"/>
          <w:highlight w:val="lightGray"/>
        </w:rPr>
        <w:t>[</w:t>
      </w:r>
      <w:r w:rsidRPr="009C2D3F">
        <w:rPr>
          <w:rFonts w:ascii="Lato" w:hAnsi="Lato"/>
          <w:bCs/>
          <w:i/>
          <w:sz w:val="20"/>
          <w:szCs w:val="20"/>
          <w:highlight w:val="lightGray"/>
        </w:rPr>
        <w:t>see Note 5</w:t>
      </w:r>
      <w:r w:rsidRPr="009C2D3F">
        <w:rPr>
          <w:rFonts w:ascii="Lato" w:hAnsi="Lato"/>
          <w:bCs/>
          <w:sz w:val="20"/>
          <w:szCs w:val="20"/>
          <w:highlight w:val="lightGray"/>
        </w:rPr>
        <w:t>]</w:t>
      </w:r>
    </w:p>
    <w:p w14:paraId="4089C6DA" w14:textId="77777777" w:rsidR="00161019" w:rsidRPr="009C2D3F" w:rsidRDefault="00161019" w:rsidP="00B759E6">
      <w:pPr>
        <w:tabs>
          <w:tab w:val="left" w:pos="1122"/>
          <w:tab w:val="left" w:pos="1309"/>
        </w:tabs>
        <w:spacing w:after="0" w:line="240" w:lineRule="auto"/>
        <w:ind w:left="3776" w:right="284" w:hanging="3402"/>
        <w:rPr>
          <w:rFonts w:ascii="Lato" w:hAnsi="Lato"/>
          <w:b/>
          <w:sz w:val="20"/>
          <w:szCs w:val="20"/>
        </w:rPr>
      </w:pPr>
    </w:p>
    <w:p w14:paraId="7F8DF60A" w14:textId="65AD1D90" w:rsidR="00704C12" w:rsidRDefault="00704C12" w:rsidP="00161019">
      <w:pPr>
        <w:spacing w:after="0" w:line="240" w:lineRule="auto"/>
        <w:ind w:left="3762" w:right="284" w:hanging="3402"/>
        <w:rPr>
          <w:rFonts w:ascii="Lato" w:hAnsi="Lato"/>
          <w:sz w:val="20"/>
          <w:szCs w:val="20"/>
        </w:rPr>
      </w:pPr>
      <w:r w:rsidRPr="009C2D3F">
        <w:rPr>
          <w:rFonts w:ascii="Lato" w:hAnsi="Lato"/>
          <w:b/>
          <w:sz w:val="20"/>
          <w:szCs w:val="20"/>
        </w:rPr>
        <w:t>“</w:t>
      </w:r>
      <w:proofErr w:type="spellStart"/>
      <w:r w:rsidRPr="009C2D3F">
        <w:rPr>
          <w:rFonts w:ascii="Lato" w:hAnsi="Lato"/>
          <w:b/>
          <w:sz w:val="20"/>
          <w:szCs w:val="20"/>
        </w:rPr>
        <w:t>AWR</w:t>
      </w:r>
      <w:proofErr w:type="spellEnd"/>
      <w:r w:rsidRPr="009C2D3F">
        <w:rPr>
          <w:rFonts w:ascii="Lato" w:hAnsi="Lato"/>
          <w:b/>
          <w:sz w:val="20"/>
          <w:szCs w:val="20"/>
        </w:rPr>
        <w:t xml:space="preserve"> Claim”</w:t>
      </w:r>
      <w:r w:rsidRPr="009C2D3F">
        <w:rPr>
          <w:rFonts w:ascii="Lato" w:hAnsi="Lato"/>
          <w:b/>
          <w:sz w:val="20"/>
          <w:szCs w:val="20"/>
        </w:rPr>
        <w:tab/>
      </w:r>
      <w:r w:rsidRPr="009C2D3F">
        <w:rPr>
          <w:rFonts w:ascii="Lato" w:hAnsi="Lato"/>
          <w:sz w:val="20"/>
          <w:szCs w:val="20"/>
        </w:rPr>
        <w:t xml:space="preserve">means any complaint or claim to a tribunal or court made by or on behalf of a Temporary Resource against the Client and/or the Employment Business for any breach of the </w:t>
      </w:r>
      <w:proofErr w:type="spellStart"/>
      <w:r w:rsidRPr="009C2D3F">
        <w:rPr>
          <w:rFonts w:ascii="Lato" w:hAnsi="Lato"/>
          <w:sz w:val="20"/>
          <w:szCs w:val="20"/>
        </w:rPr>
        <w:t>AWR</w:t>
      </w:r>
      <w:proofErr w:type="spellEnd"/>
      <w:r w:rsidRPr="009C2D3F">
        <w:rPr>
          <w:rFonts w:ascii="Lato" w:hAnsi="Lato"/>
          <w:sz w:val="20"/>
          <w:szCs w:val="20"/>
        </w:rPr>
        <w:t>;</w:t>
      </w:r>
    </w:p>
    <w:p w14:paraId="3D53FC66" w14:textId="77777777" w:rsidR="00161019" w:rsidRPr="009C2D3F" w:rsidRDefault="00161019" w:rsidP="00B759E6">
      <w:pPr>
        <w:spacing w:after="0" w:line="240" w:lineRule="auto"/>
        <w:ind w:left="3762" w:right="284" w:hanging="3402"/>
        <w:rPr>
          <w:rFonts w:ascii="Lato" w:hAnsi="Lato"/>
          <w:sz w:val="20"/>
          <w:szCs w:val="20"/>
        </w:rPr>
      </w:pPr>
    </w:p>
    <w:p w14:paraId="14932CAD" w14:textId="5A069BC9"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“Calendar Week”</w:t>
      </w:r>
      <w:r w:rsidRPr="009C2D3F">
        <w:rPr>
          <w:rFonts w:ascii="Lato" w:hAnsi="Lato"/>
          <w:b/>
          <w:sz w:val="20"/>
          <w:szCs w:val="20"/>
        </w:rPr>
        <w:tab/>
      </w:r>
      <w:r w:rsidRPr="009C2D3F">
        <w:rPr>
          <w:rFonts w:ascii="Lato" w:hAnsi="Lato"/>
          <w:sz w:val="20"/>
          <w:szCs w:val="20"/>
        </w:rPr>
        <w:t xml:space="preserve">means (for the purposes of the </w:t>
      </w:r>
      <w:proofErr w:type="spellStart"/>
      <w:r w:rsidRPr="009C2D3F">
        <w:rPr>
          <w:rFonts w:ascii="Lato" w:hAnsi="Lato"/>
          <w:sz w:val="20"/>
          <w:szCs w:val="20"/>
        </w:rPr>
        <w:t>AWR</w:t>
      </w:r>
      <w:proofErr w:type="spellEnd"/>
      <w:r w:rsidRPr="009C2D3F">
        <w:rPr>
          <w:rFonts w:ascii="Lato" w:hAnsi="Lato"/>
          <w:sz w:val="20"/>
          <w:szCs w:val="20"/>
        </w:rPr>
        <w:t>) any period of seven days starting with the same day as the first day of the First Assignment;</w:t>
      </w:r>
    </w:p>
    <w:p w14:paraId="4A9359D7" w14:textId="77777777" w:rsidR="00161019" w:rsidRPr="009C2D3F" w:rsidRDefault="00161019" w:rsidP="00B759E6">
      <w:pPr>
        <w:spacing w:after="0" w:line="240" w:lineRule="auto"/>
        <w:ind w:left="3776" w:right="284" w:hanging="3402"/>
        <w:rPr>
          <w:rFonts w:ascii="Lato" w:hAnsi="Lato"/>
          <w:sz w:val="20"/>
          <w:szCs w:val="20"/>
        </w:rPr>
      </w:pPr>
    </w:p>
    <w:p w14:paraId="5A23E8B5" w14:textId="12938812"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“Charges”</w:t>
      </w:r>
      <w:r w:rsidRPr="009C2D3F">
        <w:rPr>
          <w:rFonts w:ascii="Lato" w:hAnsi="Lato"/>
          <w:b/>
          <w:sz w:val="20"/>
          <w:szCs w:val="20"/>
        </w:rPr>
        <w:tab/>
      </w:r>
      <w:r w:rsidRPr="009C2D3F">
        <w:rPr>
          <w:rFonts w:ascii="Lato" w:hAnsi="Lato"/>
          <w:sz w:val="20"/>
          <w:szCs w:val="20"/>
        </w:rPr>
        <w:t>means the charges</w:t>
      </w:r>
      <w:r w:rsidRPr="009C2D3F">
        <w:rPr>
          <w:rFonts w:ascii="Lato" w:hAnsi="Lato"/>
          <w:b/>
          <w:sz w:val="20"/>
          <w:szCs w:val="20"/>
        </w:rPr>
        <w:t xml:space="preserve"> </w:t>
      </w:r>
      <w:r w:rsidRPr="009C2D3F">
        <w:rPr>
          <w:rFonts w:ascii="Lato" w:hAnsi="Lato"/>
          <w:sz w:val="20"/>
          <w:szCs w:val="20"/>
        </w:rPr>
        <w:t xml:space="preserve">as notified to the Client </w:t>
      </w:r>
      <w:r w:rsidR="00F27405" w:rsidRPr="009C2D3F">
        <w:rPr>
          <w:rFonts w:ascii="Lato" w:hAnsi="Lato"/>
          <w:sz w:val="20"/>
          <w:szCs w:val="20"/>
        </w:rPr>
        <w:t>before an</w:t>
      </w:r>
      <w:r w:rsidR="00C80C9B" w:rsidRPr="009C2D3F">
        <w:rPr>
          <w:rFonts w:ascii="Lato" w:hAnsi="Lato"/>
          <w:sz w:val="20"/>
          <w:szCs w:val="20"/>
        </w:rPr>
        <w:t xml:space="preserve"> </w:t>
      </w:r>
      <w:r w:rsidRPr="009C2D3F">
        <w:rPr>
          <w:rFonts w:ascii="Lato" w:hAnsi="Lato"/>
          <w:sz w:val="20"/>
          <w:szCs w:val="20"/>
        </w:rPr>
        <w:t xml:space="preserve">Assignment </w:t>
      </w:r>
      <w:r w:rsidR="00C80C9B" w:rsidRPr="009C2D3F">
        <w:rPr>
          <w:rFonts w:ascii="Lato" w:hAnsi="Lato"/>
          <w:sz w:val="20"/>
          <w:szCs w:val="20"/>
        </w:rPr>
        <w:t xml:space="preserve">starts </w:t>
      </w:r>
      <w:r w:rsidRPr="009C2D3F">
        <w:rPr>
          <w:rFonts w:ascii="Lato" w:hAnsi="Lato"/>
          <w:sz w:val="20"/>
          <w:szCs w:val="20"/>
        </w:rPr>
        <w:t>and which may be varied by the Employment Business from time to time during the Assignment. The method of calculating the Charges is set out in Schedule 1</w:t>
      </w:r>
      <w:r w:rsidR="00C80C9B" w:rsidRPr="009C2D3F">
        <w:rPr>
          <w:rFonts w:ascii="Lato" w:hAnsi="Lato"/>
          <w:sz w:val="20"/>
          <w:szCs w:val="20"/>
        </w:rPr>
        <w:t xml:space="preserve"> (Charges)</w:t>
      </w:r>
      <w:r w:rsidRPr="009C2D3F">
        <w:rPr>
          <w:rFonts w:ascii="Lato" w:hAnsi="Lato"/>
          <w:sz w:val="20"/>
          <w:szCs w:val="20"/>
        </w:rPr>
        <w:t xml:space="preserve">; </w:t>
      </w:r>
    </w:p>
    <w:p w14:paraId="40D7D6EE" w14:textId="77777777" w:rsidR="00161019" w:rsidRPr="009C2D3F" w:rsidRDefault="00161019" w:rsidP="00B759E6">
      <w:pPr>
        <w:spacing w:after="0" w:line="240" w:lineRule="auto"/>
        <w:ind w:left="3776" w:right="284" w:hanging="3402"/>
        <w:rPr>
          <w:rFonts w:ascii="Lato" w:hAnsi="Lato"/>
          <w:sz w:val="20"/>
          <w:szCs w:val="20"/>
        </w:rPr>
      </w:pP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5416"/>
      </w:tblGrid>
      <w:tr w:rsidR="00704C12" w:rsidRPr="009C2D3F" w14:paraId="4186000D" w14:textId="77777777" w:rsidTr="007343DF">
        <w:tc>
          <w:tcPr>
            <w:tcW w:w="3243" w:type="dxa"/>
          </w:tcPr>
          <w:p w14:paraId="4903EB49" w14:textId="77777777" w:rsidR="00704C12" w:rsidRPr="009C2D3F" w:rsidRDefault="00704C12" w:rsidP="00161019">
            <w:pPr>
              <w:tabs>
                <w:tab w:val="left" w:pos="1122"/>
              </w:tabs>
              <w:ind w:right="284"/>
              <w:rPr>
                <w:rFonts w:ascii="Lato" w:hAnsi="Lato"/>
                <w:b/>
                <w:sz w:val="20"/>
                <w:szCs w:val="20"/>
              </w:rPr>
            </w:pPr>
            <w:r w:rsidRPr="009C2D3F">
              <w:rPr>
                <w:rFonts w:ascii="Lato" w:hAnsi="Lato"/>
                <w:b/>
                <w:bCs/>
                <w:sz w:val="20"/>
                <w:szCs w:val="20"/>
              </w:rPr>
              <w:t>“Client’s Group”</w:t>
            </w:r>
          </w:p>
        </w:tc>
        <w:tc>
          <w:tcPr>
            <w:tcW w:w="5416" w:type="dxa"/>
          </w:tcPr>
          <w:p w14:paraId="36663041" w14:textId="77777777" w:rsidR="00704C12" w:rsidRPr="009C2D3F" w:rsidRDefault="00704C12" w:rsidP="005E18CC">
            <w:pPr>
              <w:tabs>
                <w:tab w:val="left" w:pos="374"/>
              </w:tabs>
              <w:ind w:left="33" w:right="284"/>
              <w:rPr>
                <w:rFonts w:ascii="Lato" w:hAnsi="Lato"/>
                <w:sz w:val="20"/>
                <w:szCs w:val="20"/>
              </w:rPr>
            </w:pPr>
            <w:r w:rsidRPr="009C2D3F">
              <w:rPr>
                <w:rFonts w:ascii="Lato" w:hAnsi="Lato"/>
                <w:bCs/>
                <w:sz w:val="20"/>
                <w:szCs w:val="20"/>
              </w:rPr>
              <w:t xml:space="preserve">means (a) </w:t>
            </w:r>
            <w:r w:rsidRPr="009C2D3F">
              <w:rPr>
                <w:rFonts w:ascii="Lato" w:hAnsi="Lato"/>
                <w:sz w:val="20"/>
                <w:szCs w:val="20"/>
              </w:rPr>
              <w:t xml:space="preserve">any individual, company, partnership, statutory body or other entity which from time to time </w:t>
            </w:r>
            <w:r w:rsidRPr="009C2D3F">
              <w:rPr>
                <w:rFonts w:ascii="Lato" w:hAnsi="Lato"/>
                <w:sz w:val="20"/>
                <w:szCs w:val="20"/>
              </w:rPr>
              <w:lastRenderedPageBreak/>
              <w:t xml:space="preserve">Controls the Client, including (but not limited to) as a holding company as defined in section 1159 of the Companies Act 2006; and (b) any company, partnership, statutory body or other entity which from time to time is Controlled by or is under common Control with the Client, including (but not limited to) as a subsidiary or holding company as defined in section 1159 of the Companies Act 2006; </w:t>
            </w:r>
            <w:r w:rsidRPr="009C2D3F">
              <w:rPr>
                <w:rFonts w:ascii="Lato" w:hAnsi="Lato"/>
                <w:bCs/>
                <w:sz w:val="20"/>
                <w:szCs w:val="20"/>
                <w:highlight w:val="lightGray"/>
              </w:rPr>
              <w:t>[</w:t>
            </w:r>
            <w:r w:rsidRPr="009C2D3F">
              <w:rPr>
                <w:rFonts w:ascii="Lato" w:hAnsi="Lato"/>
                <w:bCs/>
                <w:i/>
                <w:sz w:val="20"/>
                <w:szCs w:val="20"/>
                <w:highlight w:val="lightGray"/>
              </w:rPr>
              <w:t>see Note 6</w:t>
            </w:r>
            <w:r w:rsidRPr="009C2D3F">
              <w:rPr>
                <w:rFonts w:ascii="Lato" w:hAnsi="Lato"/>
                <w:bCs/>
                <w:sz w:val="20"/>
                <w:szCs w:val="20"/>
                <w:highlight w:val="lightGray"/>
              </w:rPr>
              <w:t>]</w:t>
            </w:r>
          </w:p>
          <w:p w14:paraId="0955F433" w14:textId="77777777" w:rsidR="00704C12" w:rsidRPr="009C2D3F" w:rsidRDefault="00704C12" w:rsidP="005E18CC">
            <w:pPr>
              <w:tabs>
                <w:tab w:val="left" w:pos="374"/>
              </w:tabs>
              <w:ind w:left="33" w:right="284"/>
              <w:rPr>
                <w:rFonts w:ascii="Lato" w:hAnsi="Lato"/>
                <w:sz w:val="20"/>
                <w:szCs w:val="20"/>
              </w:rPr>
            </w:pPr>
          </w:p>
        </w:tc>
      </w:tr>
    </w:tbl>
    <w:p w14:paraId="4CBCBD0D" w14:textId="5E69DB13" w:rsidR="00704C12" w:rsidRDefault="00704C12" w:rsidP="00161019">
      <w:pPr>
        <w:tabs>
          <w:tab w:val="left" w:pos="3918"/>
        </w:tabs>
        <w:spacing w:after="0" w:line="240" w:lineRule="auto"/>
        <w:ind w:left="3776" w:right="284" w:hanging="3402"/>
        <w:rPr>
          <w:rFonts w:ascii="Lato" w:hAnsi="Lato"/>
          <w:sz w:val="20"/>
          <w:szCs w:val="20"/>
        </w:rPr>
      </w:pPr>
      <w:r w:rsidRPr="009C2D3F">
        <w:rPr>
          <w:rFonts w:ascii="Lato" w:hAnsi="Lato"/>
          <w:sz w:val="20"/>
          <w:szCs w:val="20"/>
          <w:highlight w:val="lightGray"/>
        </w:rPr>
        <w:lastRenderedPageBreak/>
        <w:t>[</w:t>
      </w:r>
      <w:r w:rsidRPr="009C2D3F">
        <w:rPr>
          <w:rFonts w:ascii="Lato" w:hAnsi="Lato"/>
          <w:b/>
          <w:sz w:val="20"/>
          <w:szCs w:val="20"/>
          <w:highlight w:val="lightGray"/>
        </w:rPr>
        <w:t>“Commencement Date”</w:t>
      </w:r>
      <w:r w:rsidRPr="009C2D3F">
        <w:rPr>
          <w:rFonts w:ascii="Lato" w:hAnsi="Lato"/>
          <w:b/>
          <w:sz w:val="20"/>
          <w:szCs w:val="20"/>
        </w:rPr>
        <w:tab/>
      </w:r>
      <w:r w:rsidRPr="009C2D3F">
        <w:rPr>
          <w:rFonts w:ascii="Lato" w:hAnsi="Lato"/>
          <w:sz w:val="20"/>
          <w:szCs w:val="20"/>
          <w:highlight w:val="lightGray"/>
        </w:rPr>
        <w:t>means [</w:t>
      </w:r>
      <w:r w:rsidRPr="009C2D3F">
        <w:rPr>
          <w:rFonts w:ascii="Lato" w:hAnsi="Lato"/>
          <w:i/>
          <w:sz w:val="20"/>
          <w:szCs w:val="20"/>
          <w:highlight w:val="lightGray"/>
        </w:rPr>
        <w:t>insert the start date of the exclusivity period]</w:t>
      </w:r>
      <w:r w:rsidRPr="009C2D3F">
        <w:rPr>
          <w:rFonts w:ascii="Lato" w:hAnsi="Lato"/>
          <w:sz w:val="20"/>
          <w:szCs w:val="20"/>
          <w:highlight w:val="lightGray"/>
        </w:rPr>
        <w:t xml:space="preserve"> and  all the provisions of this Agreement shall become effective at this date; OPTIONAL DEFINITION: </w:t>
      </w:r>
      <w:r w:rsidRPr="009C2D3F">
        <w:rPr>
          <w:rFonts w:ascii="Lato" w:hAnsi="Lato"/>
          <w:i/>
          <w:sz w:val="20"/>
          <w:szCs w:val="20"/>
          <w:highlight w:val="lightGray"/>
        </w:rPr>
        <w:t>see Note 7</w:t>
      </w:r>
      <w:r w:rsidRPr="009C2D3F">
        <w:rPr>
          <w:rFonts w:ascii="Lato" w:hAnsi="Lato"/>
          <w:sz w:val="20"/>
          <w:szCs w:val="20"/>
          <w:highlight w:val="lightGray"/>
        </w:rPr>
        <w:t>]</w:t>
      </w:r>
    </w:p>
    <w:p w14:paraId="6AACAA5D" w14:textId="77777777" w:rsidR="00161019" w:rsidRPr="009C2D3F" w:rsidRDefault="00161019" w:rsidP="00B759E6">
      <w:pPr>
        <w:tabs>
          <w:tab w:val="left" w:pos="3918"/>
        </w:tabs>
        <w:spacing w:after="0" w:line="240" w:lineRule="auto"/>
        <w:ind w:left="3776" w:right="284" w:hanging="3402"/>
        <w:rPr>
          <w:rFonts w:ascii="Lato" w:hAnsi="Lato"/>
          <w:b/>
          <w:sz w:val="20"/>
          <w:szCs w:val="20"/>
        </w:rPr>
      </w:pPr>
    </w:p>
    <w:p w14:paraId="3D97DA92" w14:textId="19AA9DFA" w:rsidR="00704C12" w:rsidRDefault="00704C12" w:rsidP="00B759E6">
      <w:pPr>
        <w:spacing w:after="0" w:line="240" w:lineRule="auto"/>
        <w:ind w:left="3776" w:right="284" w:hanging="3402"/>
        <w:rPr>
          <w:rFonts w:ascii="Lato" w:hAnsi="Lato"/>
          <w:b/>
          <w:sz w:val="20"/>
          <w:szCs w:val="20"/>
        </w:rPr>
      </w:pPr>
      <w:r w:rsidRPr="009C2D3F">
        <w:rPr>
          <w:rFonts w:ascii="Lato" w:hAnsi="Lato"/>
          <w:b/>
          <w:sz w:val="20"/>
          <w:szCs w:val="20"/>
        </w:rPr>
        <w:t>“Comparable Employee”</w:t>
      </w:r>
      <w:r w:rsidRPr="009C2D3F">
        <w:rPr>
          <w:rFonts w:ascii="Lato" w:hAnsi="Lato"/>
          <w:b/>
          <w:sz w:val="20"/>
          <w:szCs w:val="20"/>
        </w:rPr>
        <w:tab/>
      </w:r>
      <w:r w:rsidRPr="009C2D3F">
        <w:rPr>
          <w:rFonts w:ascii="Lato" w:hAnsi="Lato"/>
          <w:sz w:val="20"/>
          <w:szCs w:val="20"/>
        </w:rPr>
        <w:t xml:space="preserve">means </w:t>
      </w:r>
      <w:r w:rsidRPr="009C2D3F">
        <w:rPr>
          <w:rFonts w:ascii="Lato" w:hAnsi="Lato"/>
          <w:bCs/>
          <w:sz w:val="20"/>
          <w:szCs w:val="20"/>
        </w:rPr>
        <w:t xml:space="preserve">as defined in the </w:t>
      </w:r>
      <w:proofErr w:type="spellStart"/>
      <w:r w:rsidRPr="009C2D3F">
        <w:rPr>
          <w:rFonts w:ascii="Lato" w:hAnsi="Lato"/>
          <w:bCs/>
          <w:sz w:val="20"/>
          <w:szCs w:val="20"/>
        </w:rPr>
        <w:t>AWR</w:t>
      </w:r>
      <w:proofErr w:type="spellEnd"/>
      <w:r w:rsidRPr="009C2D3F">
        <w:rPr>
          <w:rFonts w:ascii="Lato" w:hAnsi="Lato"/>
          <w:bCs/>
          <w:sz w:val="20"/>
          <w:szCs w:val="20"/>
        </w:rPr>
        <w:t xml:space="preserve">; </w:t>
      </w:r>
      <w:r w:rsidRPr="009C2D3F">
        <w:rPr>
          <w:rFonts w:ascii="Lato" w:hAnsi="Lato"/>
          <w:bCs/>
          <w:sz w:val="20"/>
          <w:szCs w:val="20"/>
          <w:highlight w:val="lightGray"/>
        </w:rPr>
        <w:t>[</w:t>
      </w:r>
      <w:r w:rsidRPr="009C2D3F">
        <w:rPr>
          <w:rFonts w:ascii="Lato" w:hAnsi="Lato"/>
          <w:bCs/>
          <w:i/>
          <w:sz w:val="20"/>
          <w:szCs w:val="20"/>
          <w:highlight w:val="lightGray"/>
        </w:rPr>
        <w:t xml:space="preserve">see </w:t>
      </w:r>
      <w:r w:rsidRPr="009C2D3F">
        <w:rPr>
          <w:rFonts w:ascii="Lato" w:hAnsi="Lato"/>
          <w:i/>
          <w:sz w:val="20"/>
          <w:szCs w:val="20"/>
          <w:highlight w:val="lightGray"/>
        </w:rPr>
        <w:t>Note 8</w:t>
      </w:r>
      <w:r w:rsidRPr="009C2D3F">
        <w:rPr>
          <w:rFonts w:ascii="Lato" w:hAnsi="Lato"/>
          <w:bCs/>
          <w:sz w:val="20"/>
          <w:szCs w:val="20"/>
          <w:highlight w:val="lightGray"/>
          <w:shd w:val="clear" w:color="auto" w:fill="3555CA" w:themeFill="background1" w:themeFillShade="D9"/>
        </w:rPr>
        <w:t>]</w:t>
      </w:r>
      <w:r w:rsidRPr="009C2D3F">
        <w:rPr>
          <w:rFonts w:ascii="Lato" w:hAnsi="Lato"/>
          <w:b/>
          <w:sz w:val="20"/>
          <w:szCs w:val="20"/>
        </w:rPr>
        <w:t xml:space="preserve"> </w:t>
      </w:r>
    </w:p>
    <w:p w14:paraId="417B4966" w14:textId="77777777" w:rsidR="006F2347" w:rsidRPr="009C2D3F" w:rsidRDefault="006F2347" w:rsidP="00B759E6">
      <w:pPr>
        <w:spacing w:after="0" w:line="240" w:lineRule="auto"/>
        <w:ind w:left="3776" w:right="284" w:hanging="3402"/>
        <w:rPr>
          <w:rFonts w:ascii="Lato" w:hAnsi="Lato"/>
          <w:b/>
          <w:sz w:val="20"/>
          <w:szCs w:val="20"/>
        </w:rPr>
      </w:pPr>
    </w:p>
    <w:p w14:paraId="720B9838" w14:textId="4D94E1C3" w:rsidR="00DF3BCA" w:rsidRPr="0068458A" w:rsidRDefault="00DF3BCA" w:rsidP="00DF3BCA">
      <w:pPr>
        <w:spacing w:after="0" w:line="240" w:lineRule="auto"/>
        <w:ind w:left="3776" w:right="284" w:hanging="3402"/>
        <w:rPr>
          <w:rFonts w:ascii="Lato" w:hAnsi="Lato"/>
          <w:sz w:val="20"/>
          <w:szCs w:val="20"/>
          <w:lang w:val="en-US"/>
        </w:rPr>
      </w:pPr>
      <w:r w:rsidRPr="00403FB7">
        <w:rPr>
          <w:rFonts w:ascii="Lato" w:hAnsi="Lato"/>
          <w:b/>
          <w:sz w:val="20"/>
          <w:szCs w:val="20"/>
          <w:lang w:val="en-US"/>
        </w:rPr>
        <w:t>“Conditions of Liability”</w:t>
      </w:r>
      <w:r w:rsidRPr="00403FB7">
        <w:rPr>
          <w:rFonts w:ascii="Lato" w:hAnsi="Lato"/>
          <w:sz w:val="20"/>
          <w:szCs w:val="20"/>
          <w:lang w:val="en-US"/>
        </w:rPr>
        <w:tab/>
        <w:t xml:space="preserve">means </w:t>
      </w:r>
      <w:r w:rsidRPr="00403FB7">
        <w:rPr>
          <w:rFonts w:ascii="Lato" w:hAnsi="Lato"/>
          <w:sz w:val="20"/>
          <w:szCs w:val="20"/>
        </w:rPr>
        <w:t xml:space="preserve">meets the requirements of section 50(1)(b) </w:t>
      </w:r>
      <w:proofErr w:type="spellStart"/>
      <w:r w:rsidRPr="00403FB7">
        <w:rPr>
          <w:rFonts w:ascii="Lato" w:hAnsi="Lato"/>
          <w:sz w:val="20"/>
          <w:szCs w:val="20"/>
        </w:rPr>
        <w:t>ITEPA</w:t>
      </w:r>
      <w:proofErr w:type="spellEnd"/>
      <w:r w:rsidRPr="00403FB7">
        <w:rPr>
          <w:rFonts w:ascii="Lato" w:hAnsi="Lato"/>
          <w:sz w:val="20"/>
          <w:szCs w:val="20"/>
        </w:rPr>
        <w:t xml:space="preserve"> and one of the conditions of liability set out in Sections 51 to 53 </w:t>
      </w:r>
      <w:proofErr w:type="spellStart"/>
      <w:r w:rsidRPr="00403FB7">
        <w:rPr>
          <w:rFonts w:ascii="Lato" w:hAnsi="Lato"/>
          <w:sz w:val="20"/>
          <w:szCs w:val="20"/>
        </w:rPr>
        <w:t>ITEPA</w:t>
      </w:r>
      <w:proofErr w:type="spellEnd"/>
      <w:r w:rsidRPr="00403FB7">
        <w:rPr>
          <w:rFonts w:ascii="Lato" w:hAnsi="Lato"/>
          <w:sz w:val="20"/>
          <w:szCs w:val="20"/>
        </w:rPr>
        <w:t xml:space="preserve">; </w:t>
      </w:r>
      <w:r w:rsidRPr="00403FB7">
        <w:rPr>
          <w:rFonts w:ascii="Lato" w:hAnsi="Lato"/>
          <w:sz w:val="20"/>
          <w:szCs w:val="20"/>
          <w:highlight w:val="lightGray"/>
        </w:rPr>
        <w:t>[</w:t>
      </w:r>
      <w:r w:rsidRPr="00403FB7">
        <w:rPr>
          <w:rFonts w:ascii="Lato" w:hAnsi="Lato"/>
          <w:i/>
          <w:sz w:val="20"/>
          <w:szCs w:val="20"/>
          <w:highlight w:val="lightGray"/>
        </w:rPr>
        <w:t>see Note 14</w:t>
      </w:r>
      <w:r w:rsidRPr="00403FB7">
        <w:rPr>
          <w:rFonts w:ascii="Lato" w:hAnsi="Lato"/>
          <w:sz w:val="20"/>
          <w:szCs w:val="20"/>
          <w:highlight w:val="lightGray"/>
        </w:rPr>
        <w:t>]</w:t>
      </w:r>
    </w:p>
    <w:p w14:paraId="0304ED08" w14:textId="77777777" w:rsidR="00DF3BCA" w:rsidRDefault="00DF3BCA" w:rsidP="00161019">
      <w:pPr>
        <w:spacing w:after="0" w:line="240" w:lineRule="auto"/>
        <w:ind w:left="3776" w:right="284" w:hanging="3402"/>
        <w:rPr>
          <w:rFonts w:ascii="Lato" w:hAnsi="Lato"/>
          <w:b/>
          <w:sz w:val="20"/>
          <w:szCs w:val="20"/>
        </w:rPr>
      </w:pPr>
    </w:p>
    <w:p w14:paraId="3ABCDA9F" w14:textId="7004CBA2"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 xml:space="preserve">“Conduct Regulations” </w:t>
      </w:r>
      <w:r w:rsidRPr="009C2D3F">
        <w:rPr>
          <w:rFonts w:ascii="Lato" w:hAnsi="Lato"/>
          <w:b/>
          <w:sz w:val="20"/>
          <w:szCs w:val="20"/>
        </w:rPr>
        <w:tab/>
      </w:r>
      <w:r w:rsidRPr="009C2D3F">
        <w:rPr>
          <w:rFonts w:ascii="Lato" w:hAnsi="Lato"/>
          <w:sz w:val="20"/>
          <w:szCs w:val="20"/>
        </w:rPr>
        <w:t xml:space="preserve">means the Conduct of Employment Agencies and Employment Businesses Regulations 2003 </w:t>
      </w:r>
      <w:r w:rsidRPr="009C2D3F">
        <w:rPr>
          <w:rFonts w:ascii="Lato" w:hAnsi="Lato"/>
          <w:sz w:val="20"/>
          <w:szCs w:val="20"/>
          <w:highlight w:val="lightGray"/>
        </w:rPr>
        <w:t>[and/or the Conduct of Employment Agencies and Employment Businesses Regulations (Northern Ireland) 2005];</w:t>
      </w:r>
      <w:r w:rsidRPr="009C2D3F">
        <w:rPr>
          <w:rFonts w:ascii="Lato" w:hAnsi="Lato"/>
          <w:sz w:val="20"/>
          <w:szCs w:val="20"/>
        </w:rPr>
        <w:t xml:space="preserve"> </w:t>
      </w:r>
      <w:r w:rsidRPr="009C2D3F">
        <w:rPr>
          <w:rFonts w:ascii="Lato" w:hAnsi="Lato"/>
          <w:bCs/>
          <w:sz w:val="20"/>
          <w:szCs w:val="20"/>
          <w:highlight w:val="lightGray"/>
        </w:rPr>
        <w:t>[</w:t>
      </w:r>
      <w:r w:rsidRPr="009C2D3F">
        <w:rPr>
          <w:rFonts w:ascii="Lato" w:hAnsi="Lato"/>
          <w:bCs/>
          <w:i/>
          <w:sz w:val="20"/>
          <w:szCs w:val="20"/>
          <w:highlight w:val="lightGray"/>
        </w:rPr>
        <w:t>see Note 9</w:t>
      </w:r>
      <w:r w:rsidRPr="009C2D3F">
        <w:rPr>
          <w:rFonts w:ascii="Lato" w:hAnsi="Lato"/>
          <w:bCs/>
          <w:sz w:val="20"/>
          <w:szCs w:val="20"/>
          <w:highlight w:val="lightGray"/>
        </w:rPr>
        <w:t>]</w:t>
      </w:r>
      <w:r w:rsidRPr="009C2D3F">
        <w:rPr>
          <w:rFonts w:ascii="Lato" w:hAnsi="Lato"/>
          <w:sz w:val="20"/>
          <w:szCs w:val="20"/>
        </w:rPr>
        <w:t xml:space="preserve"> </w:t>
      </w:r>
    </w:p>
    <w:p w14:paraId="56DE65C1" w14:textId="77777777" w:rsidR="00CC2BDE" w:rsidRPr="009C2D3F" w:rsidRDefault="00CC2BDE" w:rsidP="005E18CC">
      <w:pPr>
        <w:spacing w:after="0" w:line="240" w:lineRule="auto"/>
        <w:ind w:left="3776" w:right="284" w:hanging="3402"/>
        <w:rPr>
          <w:rFonts w:ascii="Lato" w:hAnsi="Lato"/>
          <w:sz w:val="20"/>
          <w:szCs w:val="20"/>
        </w:rPr>
      </w:pPr>
    </w:p>
    <w:p w14:paraId="1C2240E0" w14:textId="12B1B894" w:rsidR="00704C12" w:rsidRDefault="00704C12" w:rsidP="00B759E6">
      <w:pPr>
        <w:tabs>
          <w:tab w:val="left" w:pos="374"/>
        </w:tabs>
        <w:spacing w:after="0" w:line="240" w:lineRule="auto"/>
        <w:ind w:left="3762" w:right="284" w:hanging="3402"/>
        <w:rPr>
          <w:rFonts w:ascii="Lato" w:hAnsi="Lato"/>
          <w:b/>
          <w:sz w:val="20"/>
          <w:szCs w:val="20"/>
        </w:rPr>
      </w:pPr>
      <w:r w:rsidRPr="009C2D3F" w:rsidDel="00B742FC">
        <w:rPr>
          <w:rFonts w:ascii="Lato" w:hAnsi="Lato"/>
          <w:b/>
          <w:sz w:val="20"/>
          <w:szCs w:val="20"/>
        </w:rPr>
        <w:t xml:space="preserve"> </w:t>
      </w:r>
      <w:r w:rsidRPr="009C2D3F">
        <w:rPr>
          <w:rFonts w:ascii="Lato" w:hAnsi="Lato"/>
          <w:b/>
          <w:sz w:val="20"/>
          <w:szCs w:val="20"/>
        </w:rPr>
        <w:t>“Control”</w:t>
      </w:r>
      <w:r w:rsidRPr="009C2D3F">
        <w:rPr>
          <w:rFonts w:ascii="Lato" w:hAnsi="Lato"/>
          <w:b/>
          <w:sz w:val="20"/>
          <w:szCs w:val="20"/>
        </w:rPr>
        <w:tab/>
      </w:r>
      <w:r w:rsidRPr="009C2D3F">
        <w:rPr>
          <w:rFonts w:ascii="Lato" w:hAnsi="Lato"/>
          <w:sz w:val="20"/>
          <w:szCs w:val="20"/>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r w:rsidRPr="009C2D3F" w:rsidDel="00845E9F">
        <w:rPr>
          <w:rFonts w:ascii="Lato" w:hAnsi="Lato"/>
          <w:b/>
          <w:sz w:val="20"/>
          <w:szCs w:val="20"/>
        </w:rPr>
        <w:t xml:space="preserve"> </w:t>
      </w:r>
    </w:p>
    <w:p w14:paraId="4702B904" w14:textId="77777777" w:rsidR="00161019" w:rsidRPr="009C2D3F" w:rsidRDefault="00161019" w:rsidP="00B759E6">
      <w:pPr>
        <w:tabs>
          <w:tab w:val="left" w:pos="374"/>
        </w:tabs>
        <w:spacing w:after="0" w:line="240" w:lineRule="auto"/>
        <w:ind w:left="3762" w:right="284" w:hanging="3402"/>
        <w:rPr>
          <w:rFonts w:ascii="Lato" w:hAnsi="Lato"/>
          <w:sz w:val="20"/>
          <w:szCs w:val="20"/>
        </w:rPr>
      </w:pPr>
    </w:p>
    <w:p w14:paraId="691FA0A6" w14:textId="4E80B195"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“Data Protection Laws”</w:t>
      </w:r>
      <w:r w:rsidRPr="009C2D3F">
        <w:rPr>
          <w:rFonts w:ascii="Lato" w:hAnsi="Lato"/>
          <w:b/>
          <w:sz w:val="20"/>
          <w:szCs w:val="20"/>
        </w:rPr>
        <w:tab/>
      </w:r>
      <w:r w:rsidRPr="009C2D3F">
        <w:rPr>
          <w:rFonts w:ascii="Lato" w:hAnsi="Lato"/>
          <w:iCs/>
          <w:sz w:val="20"/>
          <w:szCs w:val="20"/>
        </w:rPr>
        <w:t>means the Data Protection Act 2018, the General Data Protection Regulation (EU 2016/679) and any applicable statutory or regulatory provisions in force from time to time relating to the protection and transfer of personal data;</w:t>
      </w:r>
      <w:r w:rsidRPr="009C2D3F">
        <w:rPr>
          <w:rFonts w:ascii="Lato" w:hAnsi="Lato"/>
          <w:b/>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 10</w:t>
      </w:r>
      <w:r w:rsidRPr="009C2D3F">
        <w:rPr>
          <w:rFonts w:ascii="Lato" w:hAnsi="Lato"/>
          <w:sz w:val="20"/>
          <w:szCs w:val="20"/>
          <w:highlight w:val="lightGray"/>
        </w:rPr>
        <w:t>]</w:t>
      </w:r>
    </w:p>
    <w:p w14:paraId="3A2986E2" w14:textId="77777777" w:rsidR="00161019" w:rsidRPr="009C2D3F" w:rsidRDefault="00161019" w:rsidP="00B759E6">
      <w:pPr>
        <w:spacing w:after="0" w:line="240" w:lineRule="auto"/>
        <w:ind w:left="3776" w:right="284" w:hanging="3402"/>
        <w:rPr>
          <w:rFonts w:ascii="Lato" w:hAnsi="Lato"/>
          <w:iCs/>
          <w:sz w:val="20"/>
          <w:szCs w:val="20"/>
        </w:rPr>
      </w:pPr>
    </w:p>
    <w:p w14:paraId="555A4379" w14:textId="30247AB9"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“Engagement”</w:t>
      </w:r>
      <w:r w:rsidRPr="009C2D3F">
        <w:rPr>
          <w:rFonts w:ascii="Lato" w:hAnsi="Lato"/>
          <w:b/>
          <w:sz w:val="20"/>
          <w:szCs w:val="20"/>
        </w:rPr>
        <w:tab/>
      </w:r>
      <w:r w:rsidRPr="009C2D3F">
        <w:rPr>
          <w:rFonts w:ascii="Lato" w:hAnsi="Lato"/>
          <w:sz w:val="20"/>
          <w:szCs w:val="20"/>
        </w:rPr>
        <w:t xml:space="preserve">means the engagement (including a Temporary Resource’s acceptance of the Client’s offer), the employment or use of a Temporary Resource, by the Client or by any third party to whom the </w:t>
      </w:r>
      <w:r w:rsidR="00C85781" w:rsidRPr="009C2D3F">
        <w:rPr>
          <w:rFonts w:ascii="Lato" w:hAnsi="Lato"/>
          <w:sz w:val="20"/>
          <w:szCs w:val="20"/>
        </w:rPr>
        <w:t xml:space="preserve">Temporary Resource has </w:t>
      </w:r>
      <w:r w:rsidRPr="009C2D3F">
        <w:rPr>
          <w:rFonts w:ascii="Lato" w:hAnsi="Lato"/>
          <w:sz w:val="20"/>
          <w:szCs w:val="20"/>
        </w:rPr>
        <w:t xml:space="preserve">been introduced by the Client, directly or indirectly, on a permanent or temporary basis, whether under a contract of service or for services, an agency, licence, franchise or partnership arrangement, or any other engagement; and “Engage”, “Engages” and “Engaged” shall be construed accordingly; </w:t>
      </w:r>
    </w:p>
    <w:p w14:paraId="0284E307" w14:textId="77777777" w:rsidR="00161019" w:rsidRPr="009C2D3F" w:rsidRDefault="00161019" w:rsidP="00B759E6">
      <w:pPr>
        <w:spacing w:after="0" w:line="240" w:lineRule="auto"/>
        <w:ind w:left="3776" w:right="284" w:hanging="3402"/>
        <w:rPr>
          <w:rFonts w:ascii="Lato" w:hAnsi="Lato"/>
          <w:sz w:val="20"/>
          <w:szCs w:val="20"/>
        </w:rPr>
      </w:pPr>
    </w:p>
    <w:p w14:paraId="34DB9893" w14:textId="294C4F44" w:rsidR="00704C12" w:rsidRPr="009C2D3F" w:rsidRDefault="00704C12" w:rsidP="00B759E6">
      <w:pPr>
        <w:tabs>
          <w:tab w:val="center" w:pos="4558"/>
        </w:tabs>
        <w:spacing w:after="0" w:line="240" w:lineRule="auto"/>
        <w:ind w:left="3776" w:right="284" w:hanging="3402"/>
        <w:rPr>
          <w:rFonts w:ascii="Lato" w:hAnsi="Lato"/>
          <w:sz w:val="20"/>
          <w:szCs w:val="20"/>
          <w:shd w:val="clear" w:color="auto" w:fill="3555CA" w:themeFill="background1" w:themeFillShade="D9"/>
        </w:rPr>
      </w:pPr>
      <w:r w:rsidRPr="009C2D3F">
        <w:rPr>
          <w:rFonts w:ascii="Lato" w:hAnsi="Lato"/>
          <w:b/>
          <w:sz w:val="20"/>
          <w:szCs w:val="20"/>
          <w:highlight w:val="lightGray"/>
          <w:shd w:val="clear" w:color="auto" w:fill="3555CA" w:themeFill="background1" w:themeFillShade="D9"/>
        </w:rPr>
        <w:lastRenderedPageBreak/>
        <w:t>[“</w:t>
      </w:r>
      <w:r w:rsidR="00E3492A">
        <w:rPr>
          <w:rFonts w:ascii="Lato" w:hAnsi="Lato"/>
          <w:b/>
          <w:sz w:val="20"/>
          <w:szCs w:val="20"/>
          <w:highlight w:val="lightGray"/>
          <w:shd w:val="clear" w:color="auto" w:fill="3555CA" w:themeFill="background1" w:themeFillShade="D9"/>
        </w:rPr>
        <w:t>Exclusivity Period</w:t>
      </w:r>
      <w:r w:rsidRPr="009C2D3F">
        <w:rPr>
          <w:rFonts w:ascii="Lato" w:hAnsi="Lato"/>
          <w:b/>
          <w:sz w:val="20"/>
          <w:szCs w:val="20"/>
          <w:highlight w:val="lightGray"/>
          <w:shd w:val="clear" w:color="auto" w:fill="3555CA" w:themeFill="background1" w:themeFillShade="D9"/>
        </w:rPr>
        <w:t>”</w:t>
      </w:r>
      <w:r w:rsidRPr="009C2D3F">
        <w:rPr>
          <w:rFonts w:ascii="Lato" w:hAnsi="Lato"/>
          <w:b/>
          <w:sz w:val="20"/>
          <w:szCs w:val="20"/>
          <w:highlight w:val="lightGray"/>
        </w:rPr>
        <w:tab/>
      </w:r>
      <w:r w:rsidRPr="009C2D3F">
        <w:rPr>
          <w:rFonts w:ascii="Lato" w:hAnsi="Lato"/>
          <w:sz w:val="20"/>
          <w:szCs w:val="20"/>
          <w:highlight w:val="lightGray"/>
          <w:shd w:val="clear" w:color="auto" w:fill="3555CA" w:themeFill="background1" w:themeFillShade="D9"/>
        </w:rPr>
        <w:t>means the period during which the Employment Business exclusively supplies its services to the Client in accordance with clause 2.</w:t>
      </w:r>
      <w:r w:rsidR="00B06705">
        <w:rPr>
          <w:rFonts w:ascii="Lato" w:hAnsi="Lato"/>
          <w:sz w:val="20"/>
          <w:szCs w:val="20"/>
          <w:highlight w:val="lightGray"/>
          <w:shd w:val="clear" w:color="auto" w:fill="3555CA" w:themeFill="background1" w:themeFillShade="D9"/>
        </w:rPr>
        <w:t>7</w:t>
      </w:r>
      <w:r w:rsidRPr="009C2D3F">
        <w:rPr>
          <w:rFonts w:ascii="Lato" w:hAnsi="Lato"/>
          <w:sz w:val="20"/>
          <w:szCs w:val="20"/>
          <w:highlight w:val="lightGray"/>
          <w:shd w:val="clear" w:color="auto" w:fill="3555CA" w:themeFill="background1" w:themeFillShade="D9"/>
        </w:rPr>
        <w:t xml:space="preserve"> </w:t>
      </w:r>
      <w:r w:rsidR="00DF3BCA">
        <w:rPr>
          <w:rFonts w:ascii="Lato" w:hAnsi="Lato"/>
          <w:sz w:val="20"/>
          <w:szCs w:val="20"/>
          <w:highlight w:val="lightGray"/>
          <w:shd w:val="clear" w:color="auto" w:fill="3555CA" w:themeFill="background1" w:themeFillShade="D9"/>
        </w:rPr>
        <w:t>starting</w:t>
      </w:r>
      <w:r w:rsidRPr="009C2D3F">
        <w:rPr>
          <w:rFonts w:ascii="Lato" w:hAnsi="Lato"/>
          <w:sz w:val="20"/>
          <w:szCs w:val="20"/>
          <w:highlight w:val="lightGray"/>
          <w:shd w:val="clear" w:color="auto" w:fill="3555CA" w:themeFill="background1" w:themeFillShade="D9"/>
        </w:rPr>
        <w:t xml:space="preserve"> on the Commencement Date OPTIONAL DEFINITION: [</w:t>
      </w:r>
      <w:r w:rsidRPr="009C2D3F">
        <w:rPr>
          <w:rFonts w:ascii="Lato" w:hAnsi="Lato"/>
          <w:i/>
          <w:sz w:val="20"/>
          <w:szCs w:val="20"/>
          <w:highlight w:val="lightGray"/>
          <w:shd w:val="clear" w:color="auto" w:fill="3555CA" w:themeFill="background1" w:themeFillShade="D9"/>
        </w:rPr>
        <w:t>see Note 7</w:t>
      </w:r>
      <w:r w:rsidRPr="009C2D3F">
        <w:rPr>
          <w:rFonts w:ascii="Lato" w:hAnsi="Lato"/>
          <w:sz w:val="20"/>
          <w:szCs w:val="20"/>
          <w:highlight w:val="lightGray"/>
          <w:shd w:val="clear" w:color="auto" w:fill="3555CA" w:themeFill="background1" w:themeFillShade="D9"/>
        </w:rPr>
        <w:t>]</w:t>
      </w:r>
    </w:p>
    <w:p w14:paraId="282CB1D8" w14:textId="6D70C1E9" w:rsidR="00704C12" w:rsidRDefault="00704C12" w:rsidP="00161019">
      <w:pPr>
        <w:tabs>
          <w:tab w:val="center" w:pos="4558"/>
        </w:tabs>
        <w:spacing w:after="0" w:line="240" w:lineRule="auto"/>
        <w:ind w:left="3776" w:right="284" w:hanging="3402"/>
        <w:rPr>
          <w:rFonts w:ascii="Lato" w:hAnsi="Lato"/>
          <w:sz w:val="20"/>
          <w:szCs w:val="20"/>
        </w:rPr>
      </w:pPr>
      <w:r w:rsidRPr="009C2D3F">
        <w:rPr>
          <w:rFonts w:ascii="Lato" w:hAnsi="Lato"/>
          <w:b/>
          <w:sz w:val="20"/>
          <w:szCs w:val="20"/>
        </w:rPr>
        <w:t>“Exempt Organisation”</w:t>
      </w:r>
      <w:r w:rsidRPr="009C2D3F">
        <w:rPr>
          <w:rFonts w:ascii="Lato" w:hAnsi="Lato"/>
          <w:b/>
          <w:sz w:val="20"/>
          <w:szCs w:val="20"/>
        </w:rPr>
        <w:tab/>
      </w:r>
      <w:r w:rsidRPr="009C2D3F">
        <w:rPr>
          <w:rFonts w:ascii="Lato" w:hAnsi="Lato"/>
          <w:sz w:val="20"/>
          <w:szCs w:val="20"/>
        </w:rPr>
        <w:t xml:space="preserve">means an organisation which </w:t>
      </w:r>
      <w:r w:rsidR="00C80C9B" w:rsidRPr="009C2D3F">
        <w:rPr>
          <w:rFonts w:ascii="Lato" w:hAnsi="Lato"/>
          <w:sz w:val="20"/>
          <w:szCs w:val="20"/>
        </w:rPr>
        <w:t xml:space="preserve">is exempt from </w:t>
      </w:r>
      <w:r w:rsidR="006F2347">
        <w:rPr>
          <w:rFonts w:ascii="Lato" w:hAnsi="Lato"/>
          <w:sz w:val="20"/>
          <w:szCs w:val="20"/>
        </w:rPr>
        <w:t>the Off-Payroll Rules</w:t>
      </w:r>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 11</w:t>
      </w:r>
      <w:r w:rsidRPr="009C2D3F">
        <w:rPr>
          <w:rFonts w:ascii="Lato" w:hAnsi="Lato"/>
          <w:sz w:val="20"/>
          <w:szCs w:val="20"/>
          <w:highlight w:val="lightGray"/>
        </w:rPr>
        <w:t>]</w:t>
      </w:r>
    </w:p>
    <w:p w14:paraId="04C565DF" w14:textId="77777777" w:rsidR="00161019" w:rsidRPr="009C2D3F" w:rsidRDefault="00161019" w:rsidP="00B759E6">
      <w:pPr>
        <w:tabs>
          <w:tab w:val="center" w:pos="4558"/>
        </w:tabs>
        <w:spacing w:after="0" w:line="240" w:lineRule="auto"/>
        <w:ind w:left="3776" w:right="284" w:hanging="3402"/>
        <w:rPr>
          <w:rFonts w:ascii="Lato" w:hAnsi="Lato"/>
          <w:b/>
          <w:sz w:val="20"/>
          <w:szCs w:val="20"/>
        </w:rPr>
      </w:pPr>
    </w:p>
    <w:p w14:paraId="45D144F4" w14:textId="77777777" w:rsidR="00704C12" w:rsidRPr="009C2D3F" w:rsidRDefault="00704C12" w:rsidP="00B759E6">
      <w:pPr>
        <w:tabs>
          <w:tab w:val="left" w:pos="3780"/>
        </w:tabs>
        <w:spacing w:after="0" w:line="240" w:lineRule="auto"/>
        <w:ind w:left="2553" w:hanging="2179"/>
        <w:rPr>
          <w:rFonts w:ascii="Lato" w:hAnsi="Lato"/>
          <w:sz w:val="20"/>
          <w:szCs w:val="20"/>
        </w:rPr>
      </w:pPr>
      <w:r w:rsidRPr="009C2D3F">
        <w:rPr>
          <w:rFonts w:ascii="Lato" w:hAnsi="Lato"/>
          <w:b/>
          <w:sz w:val="20"/>
          <w:szCs w:val="20"/>
        </w:rPr>
        <w:t>“First Assignment”</w:t>
      </w:r>
      <w:r w:rsidRPr="009C2D3F">
        <w:rPr>
          <w:rFonts w:ascii="Lato" w:hAnsi="Lato"/>
          <w:sz w:val="20"/>
          <w:szCs w:val="20"/>
        </w:rPr>
        <w:tab/>
      </w:r>
      <w:r w:rsidRPr="009C2D3F">
        <w:rPr>
          <w:rFonts w:ascii="Lato" w:hAnsi="Lato"/>
          <w:sz w:val="20"/>
          <w:szCs w:val="20"/>
        </w:rPr>
        <w:tab/>
        <w:t>means:</w:t>
      </w:r>
    </w:p>
    <w:p w14:paraId="084F25C0" w14:textId="77777777" w:rsidR="00704C12" w:rsidRPr="009C2D3F" w:rsidRDefault="00704C12" w:rsidP="00161019">
      <w:pPr>
        <w:widowControl w:val="0"/>
        <w:numPr>
          <w:ilvl w:val="0"/>
          <w:numId w:val="4"/>
        </w:numPr>
        <w:spacing w:after="0" w:line="240" w:lineRule="auto"/>
        <w:ind w:firstLine="372"/>
        <w:rPr>
          <w:rFonts w:ascii="Lato" w:hAnsi="Lato"/>
          <w:sz w:val="20"/>
          <w:szCs w:val="20"/>
        </w:rPr>
      </w:pPr>
      <w:r w:rsidRPr="009C2D3F">
        <w:rPr>
          <w:rFonts w:ascii="Lato" w:hAnsi="Lato"/>
          <w:sz w:val="20"/>
          <w:szCs w:val="20"/>
        </w:rPr>
        <w:t>the relevant Assignment; or</w:t>
      </w:r>
    </w:p>
    <w:p w14:paraId="5F67F9CF" w14:textId="77777777" w:rsidR="00704C12" w:rsidRPr="009C2D3F" w:rsidRDefault="00704C12" w:rsidP="00161019">
      <w:pPr>
        <w:widowControl w:val="0"/>
        <w:numPr>
          <w:ilvl w:val="0"/>
          <w:numId w:val="4"/>
        </w:numPr>
        <w:spacing w:after="0" w:line="240" w:lineRule="auto"/>
        <w:ind w:firstLine="372"/>
        <w:rPr>
          <w:rFonts w:ascii="Lato" w:hAnsi="Lato"/>
          <w:sz w:val="20"/>
          <w:szCs w:val="20"/>
        </w:rPr>
      </w:pPr>
      <w:r w:rsidRPr="009C2D3F">
        <w:rPr>
          <w:rFonts w:ascii="Lato" w:hAnsi="Lato"/>
          <w:sz w:val="20"/>
          <w:szCs w:val="20"/>
        </w:rPr>
        <w:t>if, prior to the relevant Assignment:</w:t>
      </w:r>
    </w:p>
    <w:p w14:paraId="32E769D8" w14:textId="6A358D82" w:rsidR="00704C12" w:rsidRPr="009C2D3F" w:rsidRDefault="00704C12" w:rsidP="005E18CC">
      <w:pPr>
        <w:widowControl w:val="0"/>
        <w:numPr>
          <w:ilvl w:val="0"/>
          <w:numId w:val="5"/>
        </w:numPr>
        <w:tabs>
          <w:tab w:val="clear" w:pos="3764"/>
        </w:tabs>
        <w:spacing w:after="0" w:line="240" w:lineRule="auto"/>
        <w:ind w:left="4860" w:right="386" w:hanging="540"/>
        <w:rPr>
          <w:rFonts w:ascii="Lato" w:hAnsi="Lato"/>
          <w:sz w:val="20"/>
          <w:szCs w:val="20"/>
        </w:rPr>
      </w:pPr>
      <w:r w:rsidRPr="009C2D3F">
        <w:rPr>
          <w:rFonts w:ascii="Lato" w:hAnsi="Lato"/>
          <w:sz w:val="20"/>
          <w:szCs w:val="20"/>
        </w:rPr>
        <w:t xml:space="preserve">an </w:t>
      </w:r>
      <w:r w:rsidR="00304D2E">
        <w:rPr>
          <w:rFonts w:ascii="Lato" w:hAnsi="Lato"/>
          <w:sz w:val="20"/>
          <w:szCs w:val="20"/>
        </w:rPr>
        <w:t>Agency Worker</w:t>
      </w:r>
      <w:r w:rsidRPr="009C2D3F">
        <w:rPr>
          <w:rFonts w:ascii="Lato" w:hAnsi="Lato"/>
          <w:sz w:val="20"/>
          <w:szCs w:val="20"/>
        </w:rPr>
        <w:t xml:space="preserve"> has worked in any assignment in the same role with the relevant Client</w:t>
      </w:r>
      <w:r w:rsidRPr="009C2D3F">
        <w:rPr>
          <w:rFonts w:ascii="Lato" w:hAnsi="Lato"/>
          <w:bCs/>
          <w:sz w:val="20"/>
          <w:szCs w:val="20"/>
        </w:rPr>
        <w:t xml:space="preserve"> as the role in which an </w:t>
      </w:r>
      <w:r w:rsidR="00304D2E">
        <w:rPr>
          <w:rFonts w:ascii="Lato" w:hAnsi="Lato"/>
          <w:bCs/>
          <w:sz w:val="20"/>
          <w:szCs w:val="20"/>
        </w:rPr>
        <w:t>Agency Worker</w:t>
      </w:r>
      <w:r w:rsidRPr="009C2D3F">
        <w:rPr>
          <w:rFonts w:ascii="Lato" w:hAnsi="Lato"/>
          <w:bCs/>
          <w:sz w:val="20"/>
          <w:szCs w:val="20"/>
        </w:rPr>
        <w:t xml:space="preserve"> works in the relevant Assignment;</w:t>
      </w:r>
      <w:r w:rsidRPr="009C2D3F">
        <w:rPr>
          <w:rFonts w:ascii="Lato" w:hAnsi="Lato"/>
          <w:sz w:val="20"/>
          <w:szCs w:val="20"/>
        </w:rPr>
        <w:t xml:space="preserve"> and</w:t>
      </w:r>
    </w:p>
    <w:p w14:paraId="72D44FAB" w14:textId="77777777" w:rsidR="00704C12" w:rsidRPr="009C2D3F" w:rsidRDefault="00704C12" w:rsidP="00B759E6">
      <w:pPr>
        <w:widowControl w:val="0"/>
        <w:numPr>
          <w:ilvl w:val="1"/>
          <w:numId w:val="5"/>
        </w:numPr>
        <w:tabs>
          <w:tab w:val="clear" w:pos="4844"/>
        </w:tabs>
        <w:spacing w:after="0" w:line="240" w:lineRule="auto"/>
        <w:ind w:left="4860" w:right="386" w:hanging="540"/>
        <w:rPr>
          <w:rFonts w:ascii="Lato" w:hAnsi="Lato"/>
          <w:sz w:val="20"/>
          <w:szCs w:val="20"/>
        </w:rPr>
      </w:pPr>
      <w:r w:rsidRPr="009C2D3F">
        <w:rPr>
          <w:rFonts w:ascii="Lato" w:hAnsi="Lato"/>
          <w:sz w:val="20"/>
          <w:szCs w:val="20"/>
        </w:rPr>
        <w:t>the relevant Qualifying Period commenced in any such assignment,</w:t>
      </w:r>
    </w:p>
    <w:p w14:paraId="560148E8" w14:textId="23E1C54D" w:rsidR="00704C12" w:rsidRDefault="00704C12" w:rsidP="00161019">
      <w:pPr>
        <w:tabs>
          <w:tab w:val="left" w:pos="374"/>
        </w:tabs>
        <w:spacing w:after="0" w:line="240" w:lineRule="auto"/>
        <w:ind w:left="3780" w:right="284" w:hanging="3406"/>
        <w:rPr>
          <w:rFonts w:ascii="Lato" w:hAnsi="Lato"/>
          <w:sz w:val="20"/>
          <w:szCs w:val="20"/>
        </w:rPr>
      </w:pPr>
      <w:r w:rsidRPr="009C2D3F">
        <w:rPr>
          <w:rFonts w:ascii="Lato" w:hAnsi="Lato"/>
          <w:sz w:val="20"/>
          <w:szCs w:val="20"/>
        </w:rPr>
        <w:tab/>
        <w:t xml:space="preserve">that assignment (an assignment being (for the purpose of this defined term) a period of time during which the </w:t>
      </w:r>
      <w:r w:rsidR="00304D2E">
        <w:rPr>
          <w:rFonts w:ascii="Lato" w:hAnsi="Lato"/>
          <w:sz w:val="20"/>
          <w:szCs w:val="20"/>
        </w:rPr>
        <w:t>Agency Worker</w:t>
      </w:r>
      <w:r w:rsidRPr="009C2D3F">
        <w:rPr>
          <w:rFonts w:ascii="Lato" w:hAnsi="Lato"/>
          <w:sz w:val="20"/>
          <w:szCs w:val="20"/>
        </w:rPr>
        <w:t xml:space="preserve"> is supplied by one or more Temporary Work Agencies to the relevant Client to work temporarily for and under the supervision and direction of the relevant Client); </w:t>
      </w:r>
    </w:p>
    <w:p w14:paraId="275AD1AC" w14:textId="77777777" w:rsidR="00161019" w:rsidRPr="009C2D3F" w:rsidRDefault="00161019" w:rsidP="00B759E6">
      <w:pPr>
        <w:tabs>
          <w:tab w:val="left" w:pos="374"/>
        </w:tabs>
        <w:spacing w:after="0" w:line="240" w:lineRule="auto"/>
        <w:ind w:left="3780" w:right="284" w:hanging="3406"/>
        <w:rPr>
          <w:rFonts w:ascii="Lato" w:hAnsi="Lato"/>
          <w:b/>
          <w:bCs/>
          <w:sz w:val="20"/>
          <w:szCs w:val="20"/>
        </w:rPr>
      </w:pPr>
    </w:p>
    <w:p w14:paraId="4114C13D" w14:textId="6573F264" w:rsidR="00704C12" w:rsidRDefault="00313511" w:rsidP="00161019">
      <w:pPr>
        <w:spacing w:after="0" w:line="240" w:lineRule="auto"/>
        <w:ind w:left="3776" w:right="284" w:hanging="3402"/>
        <w:rPr>
          <w:rFonts w:ascii="Lato" w:hAnsi="Lato"/>
          <w:sz w:val="20"/>
          <w:szCs w:val="20"/>
        </w:rPr>
      </w:pPr>
      <w:r w:rsidRPr="009C2D3F" w:rsidDel="00313511">
        <w:rPr>
          <w:rFonts w:ascii="Lato" w:hAnsi="Lato"/>
          <w:b/>
          <w:sz w:val="20"/>
          <w:szCs w:val="20"/>
        </w:rPr>
        <w:t xml:space="preserve"> </w:t>
      </w:r>
      <w:r w:rsidR="00704C12" w:rsidRPr="009C2D3F">
        <w:rPr>
          <w:rFonts w:ascii="Lato" w:hAnsi="Lato"/>
          <w:b/>
          <w:sz w:val="20"/>
          <w:szCs w:val="20"/>
        </w:rPr>
        <w:t>“Inside IR35”</w:t>
      </w:r>
      <w:r w:rsidR="00704C12" w:rsidRPr="009C2D3F">
        <w:rPr>
          <w:rFonts w:ascii="Lato" w:hAnsi="Lato"/>
          <w:b/>
          <w:sz w:val="20"/>
          <w:szCs w:val="20"/>
        </w:rPr>
        <w:tab/>
      </w:r>
      <w:r w:rsidR="00704C12" w:rsidRPr="009C2D3F">
        <w:rPr>
          <w:rFonts w:ascii="Lato" w:hAnsi="Lato"/>
          <w:sz w:val="20"/>
          <w:szCs w:val="20"/>
        </w:rPr>
        <w:t xml:space="preserve">means </w:t>
      </w:r>
      <w:r w:rsidR="00704C12" w:rsidRPr="009C2D3F">
        <w:rPr>
          <w:rFonts w:ascii="Lato" w:hAnsi="Lato"/>
          <w:bCs/>
          <w:sz w:val="20"/>
          <w:szCs w:val="20"/>
        </w:rPr>
        <w:t xml:space="preserve">an Assignment which the </w:t>
      </w:r>
      <w:r w:rsidR="0046324C">
        <w:rPr>
          <w:rFonts w:ascii="Lato" w:hAnsi="Lato"/>
          <w:bCs/>
          <w:sz w:val="20"/>
          <w:szCs w:val="20"/>
        </w:rPr>
        <w:t>PSC</w:t>
      </w:r>
      <w:r w:rsidR="00704C12" w:rsidRPr="009C2D3F">
        <w:rPr>
          <w:rFonts w:ascii="Lato" w:hAnsi="Lato"/>
          <w:bCs/>
          <w:sz w:val="20"/>
          <w:szCs w:val="20"/>
        </w:rPr>
        <w:t xml:space="preserve"> has determined meets the </w:t>
      </w:r>
      <w:r w:rsidR="00A14D0B">
        <w:rPr>
          <w:rFonts w:ascii="Lato" w:hAnsi="Lato"/>
          <w:bCs/>
          <w:sz w:val="20"/>
          <w:szCs w:val="20"/>
        </w:rPr>
        <w:t>conditions</w:t>
      </w:r>
      <w:r w:rsidR="00A14D0B" w:rsidRPr="009C2D3F">
        <w:rPr>
          <w:rFonts w:ascii="Lato" w:hAnsi="Lato"/>
          <w:bCs/>
          <w:sz w:val="20"/>
          <w:szCs w:val="20"/>
        </w:rPr>
        <w:t xml:space="preserve"> </w:t>
      </w:r>
      <w:r w:rsidR="00704C12" w:rsidRPr="009C2D3F">
        <w:rPr>
          <w:rFonts w:ascii="Lato" w:hAnsi="Lato"/>
          <w:bCs/>
          <w:sz w:val="20"/>
          <w:szCs w:val="20"/>
        </w:rPr>
        <w:t xml:space="preserve">of Section 61M </w:t>
      </w:r>
      <w:proofErr w:type="spellStart"/>
      <w:r w:rsidR="00704C12" w:rsidRPr="009C2D3F">
        <w:rPr>
          <w:rFonts w:ascii="Lato" w:hAnsi="Lato"/>
          <w:bCs/>
          <w:sz w:val="20"/>
          <w:szCs w:val="20"/>
        </w:rPr>
        <w:t>ITEPA</w:t>
      </w:r>
      <w:proofErr w:type="spellEnd"/>
      <w:r w:rsidR="00704C12" w:rsidRPr="009C2D3F">
        <w:rPr>
          <w:rFonts w:ascii="Lato" w:hAnsi="Lato"/>
          <w:bCs/>
          <w:sz w:val="20"/>
          <w:szCs w:val="20"/>
        </w:rPr>
        <w:t xml:space="preserve">; </w:t>
      </w:r>
      <w:r w:rsidR="00704C12" w:rsidRPr="009C2D3F">
        <w:rPr>
          <w:rFonts w:ascii="Lato" w:hAnsi="Lato"/>
          <w:sz w:val="20"/>
          <w:szCs w:val="20"/>
          <w:highlight w:val="lightGray"/>
        </w:rPr>
        <w:t>[</w:t>
      </w:r>
      <w:r w:rsidR="00704C12" w:rsidRPr="009C2D3F">
        <w:rPr>
          <w:rFonts w:ascii="Lato" w:hAnsi="Lato"/>
          <w:i/>
          <w:sz w:val="20"/>
          <w:szCs w:val="20"/>
          <w:highlight w:val="lightGray"/>
        </w:rPr>
        <w:t>see Note 12</w:t>
      </w:r>
      <w:r w:rsidR="00704C12" w:rsidRPr="009C2D3F">
        <w:rPr>
          <w:rFonts w:ascii="Lato" w:hAnsi="Lato"/>
          <w:sz w:val="20"/>
          <w:szCs w:val="20"/>
          <w:highlight w:val="lightGray"/>
        </w:rPr>
        <w:t>]</w:t>
      </w:r>
    </w:p>
    <w:p w14:paraId="132C5578" w14:textId="77777777" w:rsidR="00161019" w:rsidRPr="009C2D3F" w:rsidRDefault="00161019" w:rsidP="00B759E6">
      <w:pPr>
        <w:spacing w:after="0" w:line="240" w:lineRule="auto"/>
        <w:ind w:left="3776" w:right="284" w:hanging="3402"/>
        <w:rPr>
          <w:rFonts w:ascii="Lato" w:hAnsi="Lato"/>
          <w:sz w:val="20"/>
          <w:szCs w:val="20"/>
        </w:rPr>
      </w:pPr>
    </w:p>
    <w:p w14:paraId="227ACA2C" w14:textId="566E56B5" w:rsidR="00704C12" w:rsidRDefault="00704C12" w:rsidP="00161019">
      <w:pPr>
        <w:tabs>
          <w:tab w:val="left" w:pos="374"/>
        </w:tabs>
        <w:spacing w:after="0" w:line="240" w:lineRule="auto"/>
        <w:ind w:left="3762" w:right="284" w:hanging="3402"/>
        <w:rPr>
          <w:rFonts w:ascii="Lato" w:hAnsi="Lato"/>
          <w:sz w:val="20"/>
          <w:szCs w:val="20"/>
        </w:rPr>
      </w:pPr>
      <w:r w:rsidRPr="00403FB7">
        <w:rPr>
          <w:rFonts w:ascii="Lato" w:hAnsi="Lato"/>
          <w:b/>
          <w:sz w:val="20"/>
          <w:szCs w:val="20"/>
        </w:rPr>
        <w:t>“Intermediary”</w:t>
      </w:r>
      <w:r w:rsidRPr="00403FB7">
        <w:rPr>
          <w:rFonts w:ascii="Lato" w:hAnsi="Lato"/>
          <w:sz w:val="20"/>
          <w:szCs w:val="20"/>
        </w:rPr>
        <w:tab/>
        <w:t>means any entity</w:t>
      </w:r>
      <w:r w:rsidR="00DF3BCA" w:rsidRPr="00403FB7">
        <w:rPr>
          <w:rFonts w:ascii="Lato" w:hAnsi="Lato"/>
          <w:sz w:val="20"/>
          <w:szCs w:val="20"/>
        </w:rPr>
        <w:t xml:space="preserve"> (other than the Employment Business) </w:t>
      </w:r>
      <w:r w:rsidRPr="00403FB7">
        <w:rPr>
          <w:rFonts w:ascii="Lato" w:hAnsi="Lato"/>
          <w:sz w:val="20"/>
          <w:szCs w:val="20"/>
        </w:rPr>
        <w:t xml:space="preserve"> </w:t>
      </w:r>
      <w:r w:rsidR="00C85781" w:rsidRPr="00403FB7">
        <w:rPr>
          <w:rFonts w:ascii="Lato" w:hAnsi="Lato"/>
          <w:sz w:val="20"/>
          <w:szCs w:val="20"/>
        </w:rPr>
        <w:t xml:space="preserve">through </w:t>
      </w:r>
      <w:r w:rsidRPr="00403FB7">
        <w:rPr>
          <w:rFonts w:ascii="Lato" w:hAnsi="Lato"/>
          <w:sz w:val="20"/>
          <w:szCs w:val="20"/>
        </w:rPr>
        <w:t>which a Temporary Resource provides their services including (and, except where otherwise indicated, includes Intermediary Staff and any third party to whom the provision of the Assignment Services is assigned or sub-contracted in accordance with clause</w:t>
      </w:r>
      <w:r w:rsidRPr="009C2D3F">
        <w:rPr>
          <w:rFonts w:ascii="Lato" w:hAnsi="Lato"/>
          <w:sz w:val="20"/>
          <w:szCs w:val="20"/>
        </w:rPr>
        <w:t xml:space="preserve"> 2.</w:t>
      </w:r>
      <w:r w:rsidR="00C80C9B" w:rsidRPr="009C2D3F">
        <w:rPr>
          <w:rFonts w:ascii="Lato" w:hAnsi="Lato"/>
          <w:sz w:val="20"/>
          <w:szCs w:val="20"/>
        </w:rPr>
        <w:t>6</w:t>
      </w:r>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w:t>
      </w:r>
      <w:r w:rsidR="003536DB">
        <w:rPr>
          <w:rFonts w:ascii="Lato" w:hAnsi="Lato"/>
          <w:i/>
          <w:sz w:val="20"/>
          <w:szCs w:val="20"/>
          <w:highlight w:val="lightGray"/>
        </w:rPr>
        <w:t xml:space="preserve"> 1</w:t>
      </w:r>
      <w:r w:rsidR="00CE2237">
        <w:rPr>
          <w:rFonts w:ascii="Lato" w:hAnsi="Lato"/>
          <w:i/>
          <w:sz w:val="20"/>
          <w:szCs w:val="20"/>
          <w:highlight w:val="lightGray"/>
        </w:rPr>
        <w:t>3</w:t>
      </w:r>
      <w:r w:rsidRPr="009C2D3F">
        <w:rPr>
          <w:rFonts w:ascii="Lato" w:hAnsi="Lato"/>
          <w:sz w:val="20"/>
          <w:szCs w:val="20"/>
          <w:highlight w:val="lightGray"/>
        </w:rPr>
        <w:t>]</w:t>
      </w:r>
    </w:p>
    <w:p w14:paraId="376B4C74" w14:textId="77777777" w:rsidR="00161019" w:rsidRPr="009C2D3F" w:rsidRDefault="00161019" w:rsidP="00B759E6">
      <w:pPr>
        <w:tabs>
          <w:tab w:val="left" w:pos="374"/>
        </w:tabs>
        <w:spacing w:after="0" w:line="240" w:lineRule="auto"/>
        <w:ind w:left="3762" w:right="284" w:hanging="3402"/>
        <w:rPr>
          <w:rFonts w:ascii="Lato" w:hAnsi="Lato"/>
          <w:sz w:val="20"/>
          <w:szCs w:val="20"/>
        </w:rPr>
      </w:pPr>
    </w:p>
    <w:p w14:paraId="3F8245E2" w14:textId="2A60C673"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“Intermediary</w:t>
      </w:r>
      <w:r w:rsidRPr="009C2D3F">
        <w:rPr>
          <w:rFonts w:ascii="Lato" w:hAnsi="Lato"/>
          <w:sz w:val="20"/>
          <w:szCs w:val="20"/>
        </w:rPr>
        <w:t xml:space="preserve"> </w:t>
      </w:r>
      <w:r w:rsidRPr="009C2D3F">
        <w:rPr>
          <w:rFonts w:ascii="Lato" w:hAnsi="Lato"/>
          <w:b/>
          <w:sz w:val="20"/>
          <w:szCs w:val="20"/>
        </w:rPr>
        <w:t>Fees”</w:t>
      </w:r>
      <w:r w:rsidRPr="009C2D3F">
        <w:rPr>
          <w:rFonts w:ascii="Lato" w:hAnsi="Lato"/>
          <w:sz w:val="20"/>
          <w:szCs w:val="20"/>
        </w:rPr>
        <w:t xml:space="preserve"> </w:t>
      </w:r>
      <w:r w:rsidRPr="009C2D3F">
        <w:rPr>
          <w:rFonts w:ascii="Lato" w:hAnsi="Lato"/>
          <w:sz w:val="20"/>
          <w:szCs w:val="20"/>
        </w:rPr>
        <w:tab/>
        <w:t xml:space="preserve">means the fees payable to an Intermediary for the provision of the Assignment Services; </w:t>
      </w:r>
    </w:p>
    <w:p w14:paraId="5DA9E81E" w14:textId="77777777" w:rsidR="00161019" w:rsidRPr="009C2D3F" w:rsidRDefault="00161019" w:rsidP="00B759E6">
      <w:pPr>
        <w:spacing w:after="0" w:line="240" w:lineRule="auto"/>
        <w:ind w:left="3776" w:right="284" w:hanging="3402"/>
        <w:rPr>
          <w:rFonts w:ascii="Lato" w:hAnsi="Lato"/>
          <w:sz w:val="20"/>
          <w:szCs w:val="20"/>
        </w:rPr>
      </w:pPr>
    </w:p>
    <w:p w14:paraId="6D986DB9" w14:textId="5A3AA588"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“Intermediary</w:t>
      </w:r>
      <w:r w:rsidRPr="009C2D3F">
        <w:rPr>
          <w:rFonts w:ascii="Lato" w:hAnsi="Lato"/>
          <w:sz w:val="20"/>
          <w:szCs w:val="20"/>
        </w:rPr>
        <w:t xml:space="preserve"> </w:t>
      </w:r>
      <w:r w:rsidRPr="009C2D3F">
        <w:rPr>
          <w:rFonts w:ascii="Lato" w:hAnsi="Lato"/>
          <w:b/>
          <w:sz w:val="20"/>
          <w:szCs w:val="20"/>
        </w:rPr>
        <w:t>Staff”</w:t>
      </w:r>
      <w:r w:rsidRPr="009C2D3F">
        <w:rPr>
          <w:rFonts w:ascii="Lato" w:hAnsi="Lato"/>
          <w:sz w:val="20"/>
          <w:szCs w:val="20"/>
        </w:rPr>
        <w:tab/>
        <w:t>means any officer, employee, worker or representative of an Intermediary supplied to provide the Assignment Services (and, except where otherwise indicated, includes any officer, employee, worker or representative of any third party to whom the provision of the Assignment Services is assigned or sub-contracted in accordance with clause 2.</w:t>
      </w:r>
      <w:r w:rsidR="00A64157">
        <w:rPr>
          <w:rFonts w:ascii="Lato" w:hAnsi="Lato"/>
          <w:sz w:val="20"/>
          <w:szCs w:val="20"/>
        </w:rPr>
        <w:t>6</w:t>
      </w:r>
      <w:r w:rsidRPr="009C2D3F">
        <w:rPr>
          <w:rFonts w:ascii="Lato" w:hAnsi="Lato"/>
          <w:sz w:val="20"/>
          <w:szCs w:val="20"/>
        </w:rPr>
        <w:t xml:space="preserve">); </w:t>
      </w:r>
    </w:p>
    <w:p w14:paraId="16ED3C0F" w14:textId="77777777" w:rsidR="00161019" w:rsidRDefault="00161019" w:rsidP="00B759E6">
      <w:pPr>
        <w:spacing w:after="0" w:line="240" w:lineRule="auto"/>
        <w:ind w:left="3776" w:right="284" w:hanging="3402"/>
        <w:rPr>
          <w:rFonts w:ascii="Lato" w:hAnsi="Lato"/>
          <w:sz w:val="20"/>
          <w:szCs w:val="20"/>
        </w:rPr>
      </w:pPr>
    </w:p>
    <w:p w14:paraId="6AACED19" w14:textId="2625C346" w:rsidR="00704C12" w:rsidRDefault="00704C12" w:rsidP="00161019">
      <w:pPr>
        <w:tabs>
          <w:tab w:val="left" w:pos="374"/>
        </w:tabs>
        <w:spacing w:after="0" w:line="240" w:lineRule="auto"/>
        <w:ind w:left="3762" w:right="284" w:hanging="3402"/>
        <w:rPr>
          <w:rFonts w:ascii="Lato" w:hAnsi="Lato"/>
          <w:b/>
          <w:sz w:val="20"/>
          <w:szCs w:val="20"/>
        </w:rPr>
      </w:pPr>
      <w:r w:rsidRPr="009C2D3F">
        <w:rPr>
          <w:rFonts w:ascii="Lato" w:hAnsi="Lato"/>
          <w:b/>
          <w:sz w:val="20"/>
          <w:szCs w:val="20"/>
        </w:rPr>
        <w:t>“Introduction”</w:t>
      </w:r>
      <w:r w:rsidRPr="009C2D3F">
        <w:rPr>
          <w:rFonts w:ascii="Lato" w:hAnsi="Lato"/>
          <w:b/>
          <w:sz w:val="20"/>
          <w:szCs w:val="20"/>
        </w:rPr>
        <w:tab/>
      </w:r>
      <w:r w:rsidRPr="009C2D3F">
        <w:rPr>
          <w:rFonts w:ascii="Lato" w:hAnsi="Lato"/>
          <w:sz w:val="20"/>
          <w:szCs w:val="20"/>
        </w:rPr>
        <w:t>means (</w:t>
      </w:r>
      <w:proofErr w:type="spellStart"/>
      <w:r w:rsidRPr="009C2D3F">
        <w:rPr>
          <w:rFonts w:ascii="Lato" w:hAnsi="Lato"/>
          <w:sz w:val="20"/>
          <w:szCs w:val="20"/>
        </w:rPr>
        <w:t>i</w:t>
      </w:r>
      <w:proofErr w:type="spellEnd"/>
      <w:r w:rsidRPr="009C2D3F">
        <w:rPr>
          <w:rFonts w:ascii="Lato" w:hAnsi="Lato"/>
          <w:sz w:val="20"/>
          <w:szCs w:val="20"/>
        </w:rPr>
        <w:t xml:space="preserve">) the passing to the Client of a curriculum </w:t>
      </w:r>
      <w:proofErr w:type="spellStart"/>
      <w:r w:rsidRPr="009C2D3F">
        <w:rPr>
          <w:rFonts w:ascii="Lato" w:hAnsi="Lato"/>
          <w:sz w:val="20"/>
          <w:szCs w:val="20"/>
        </w:rPr>
        <w:t>vitæ</w:t>
      </w:r>
      <w:proofErr w:type="spellEnd"/>
      <w:r w:rsidRPr="009C2D3F">
        <w:rPr>
          <w:rFonts w:ascii="Lato" w:hAnsi="Lato"/>
          <w:sz w:val="20"/>
          <w:szCs w:val="20"/>
        </w:rPr>
        <w:t xml:space="preserve"> or information which identifies a Temporary Resource or (ii) the Client’s interview of </w:t>
      </w:r>
      <w:r w:rsidR="00812AA7">
        <w:rPr>
          <w:rFonts w:ascii="Lato" w:hAnsi="Lato"/>
          <w:sz w:val="20"/>
          <w:szCs w:val="20"/>
        </w:rPr>
        <w:t xml:space="preserve">or meeting with </w:t>
      </w:r>
      <w:r w:rsidRPr="009C2D3F">
        <w:rPr>
          <w:rFonts w:ascii="Lato" w:hAnsi="Lato"/>
          <w:sz w:val="20"/>
          <w:szCs w:val="20"/>
        </w:rPr>
        <w:t xml:space="preserve">a Temporary Resource (in person, by telephone or by any other means), following the Client’s instruction to the </w:t>
      </w:r>
      <w:r w:rsidRPr="009C2D3F">
        <w:rPr>
          <w:rFonts w:ascii="Lato" w:hAnsi="Lato"/>
          <w:sz w:val="20"/>
          <w:szCs w:val="20"/>
        </w:rPr>
        <w:lastRenderedPageBreak/>
        <w:t>Employment Business to supply a temporary worker; or (iii) the supply of a Temporary Resource; which leads to an Engagement of that Temporary Resource; and “Introduces” and “Introduced” shall be construed accordingly;</w:t>
      </w:r>
      <w:r w:rsidRPr="009C2D3F">
        <w:rPr>
          <w:rFonts w:ascii="Lato" w:hAnsi="Lato"/>
          <w:b/>
          <w:sz w:val="20"/>
          <w:szCs w:val="20"/>
        </w:rPr>
        <w:t xml:space="preserve"> </w:t>
      </w:r>
    </w:p>
    <w:p w14:paraId="11C11446" w14:textId="77777777" w:rsidR="00161019" w:rsidRPr="009C2D3F" w:rsidRDefault="00161019" w:rsidP="00B759E6">
      <w:pPr>
        <w:tabs>
          <w:tab w:val="left" w:pos="374"/>
        </w:tabs>
        <w:spacing w:after="0" w:line="240" w:lineRule="auto"/>
        <w:ind w:left="3762" w:right="284" w:hanging="3402"/>
        <w:rPr>
          <w:rFonts w:ascii="Lato" w:hAnsi="Lato"/>
          <w:b/>
          <w:sz w:val="20"/>
          <w:szCs w:val="20"/>
        </w:rPr>
      </w:pPr>
    </w:p>
    <w:p w14:paraId="2B0CE84A" w14:textId="37336B9D"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w:t>
      </w:r>
      <w:proofErr w:type="spellStart"/>
      <w:r w:rsidRPr="009C2D3F">
        <w:rPr>
          <w:rFonts w:ascii="Lato" w:hAnsi="Lato"/>
          <w:b/>
          <w:sz w:val="20"/>
          <w:szCs w:val="20"/>
        </w:rPr>
        <w:t>ITEPA</w:t>
      </w:r>
      <w:proofErr w:type="spellEnd"/>
      <w:r w:rsidRPr="009C2D3F">
        <w:rPr>
          <w:rFonts w:ascii="Lato" w:hAnsi="Lato"/>
          <w:b/>
          <w:sz w:val="20"/>
          <w:szCs w:val="20"/>
        </w:rPr>
        <w:t>”</w:t>
      </w:r>
      <w:r w:rsidRPr="009C2D3F">
        <w:rPr>
          <w:rFonts w:ascii="Lato" w:hAnsi="Lato"/>
          <w:sz w:val="20"/>
          <w:szCs w:val="20"/>
        </w:rPr>
        <w:tab/>
        <w:t>means the Income Tax (Earnings and Pensions) Act 2003;</w:t>
      </w:r>
    </w:p>
    <w:p w14:paraId="4AB449FD" w14:textId="77777777" w:rsidR="00161019" w:rsidRPr="009C2D3F" w:rsidRDefault="00161019" w:rsidP="00B759E6">
      <w:pPr>
        <w:spacing w:after="0" w:line="240" w:lineRule="auto"/>
        <w:ind w:left="3776" w:right="284" w:hanging="3402"/>
        <w:rPr>
          <w:rFonts w:ascii="Lato" w:hAnsi="Lato"/>
          <w:sz w:val="20"/>
          <w:szCs w:val="20"/>
        </w:rPr>
      </w:pPr>
    </w:p>
    <w:p w14:paraId="6B2756EC" w14:textId="01875498" w:rsidR="00704C12" w:rsidRDefault="00704C12" w:rsidP="00161019">
      <w:pPr>
        <w:spacing w:after="0" w:line="240" w:lineRule="auto"/>
        <w:ind w:left="3776" w:right="284" w:hanging="3402"/>
        <w:rPr>
          <w:rFonts w:ascii="Lato" w:hAnsi="Lato"/>
          <w:sz w:val="20"/>
          <w:szCs w:val="20"/>
          <w:lang w:val="en-US"/>
        </w:rPr>
      </w:pPr>
      <w:r w:rsidRPr="009C2D3F">
        <w:rPr>
          <w:rFonts w:ascii="Lato" w:hAnsi="Lato"/>
          <w:b/>
          <w:sz w:val="20"/>
          <w:szCs w:val="20"/>
        </w:rPr>
        <w:t>“Losses”</w:t>
      </w:r>
      <w:r w:rsidRPr="009C2D3F">
        <w:rPr>
          <w:rFonts w:ascii="Lato" w:hAnsi="Lato"/>
          <w:sz w:val="20"/>
          <w:szCs w:val="20"/>
        </w:rPr>
        <w:tab/>
        <w:t xml:space="preserve">means </w:t>
      </w:r>
      <w:r w:rsidRPr="009C2D3F">
        <w:rPr>
          <w:rFonts w:ascii="Lato" w:hAnsi="Lato"/>
          <w:sz w:val="20"/>
          <w:szCs w:val="20"/>
          <w:lang w:val="en-US"/>
        </w:rPr>
        <w:t>all losses, liabilities, damages, costs, expenses, fines, penalties or interest, whether direct, indirect, special or consequential (including, without limitation, any economic loss or other loss of profits, business or goodwill, management time and reasonable legal fees) and charges, including items arising out of or resulting from actions, proceedings, claims and demands;</w:t>
      </w:r>
    </w:p>
    <w:p w14:paraId="7C23B130" w14:textId="77777777" w:rsidR="005E361C" w:rsidRPr="009C2D3F" w:rsidRDefault="005E361C" w:rsidP="00B759E6">
      <w:pPr>
        <w:tabs>
          <w:tab w:val="left" w:pos="3420"/>
          <w:tab w:val="left" w:pos="3828"/>
        </w:tabs>
        <w:spacing w:after="0" w:line="240" w:lineRule="auto"/>
        <w:ind w:left="3828" w:right="284"/>
        <w:contextualSpacing/>
        <w:rPr>
          <w:rFonts w:ascii="Lato" w:hAnsi="Lato"/>
          <w:b/>
          <w:sz w:val="20"/>
          <w:szCs w:val="20"/>
        </w:rPr>
      </w:pPr>
    </w:p>
    <w:p w14:paraId="40B98C54" w14:textId="3D9C8FF5"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 xml:space="preserve">“NICs Legislation” </w:t>
      </w:r>
      <w:r w:rsidRPr="009C2D3F">
        <w:rPr>
          <w:rFonts w:ascii="Lato" w:hAnsi="Lato"/>
          <w:b/>
          <w:sz w:val="20"/>
          <w:szCs w:val="20"/>
        </w:rPr>
        <w:tab/>
      </w:r>
      <w:r w:rsidRPr="009C2D3F">
        <w:rPr>
          <w:rFonts w:ascii="Lato" w:hAnsi="Lato"/>
          <w:sz w:val="20"/>
          <w:szCs w:val="20"/>
        </w:rPr>
        <w:t xml:space="preserve">means the Social Security (Categorisation of Earners) Regulations 1978 </w:t>
      </w:r>
      <w:r w:rsidRPr="009C2D3F">
        <w:rPr>
          <w:rFonts w:ascii="Lato" w:hAnsi="Lato"/>
          <w:sz w:val="20"/>
          <w:szCs w:val="20"/>
          <w:highlight w:val="lightGray"/>
        </w:rPr>
        <w:t>[the Social Security (Categorisation of Earners) (Northern Ireland) Regulations 1978]</w:t>
      </w:r>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 1</w:t>
      </w:r>
      <w:r w:rsidR="00CE2237">
        <w:rPr>
          <w:rFonts w:ascii="Lato" w:hAnsi="Lato"/>
          <w:i/>
          <w:sz w:val="20"/>
          <w:szCs w:val="20"/>
          <w:highlight w:val="lightGray"/>
        </w:rPr>
        <w:t>5</w:t>
      </w:r>
      <w:r w:rsidRPr="009C2D3F">
        <w:rPr>
          <w:rFonts w:ascii="Lato" w:hAnsi="Lato"/>
          <w:sz w:val="20"/>
          <w:szCs w:val="20"/>
          <w:highlight w:val="lightGray"/>
        </w:rPr>
        <w:t>]</w:t>
      </w:r>
    </w:p>
    <w:p w14:paraId="732C9971" w14:textId="77777777" w:rsidR="00E42577" w:rsidRPr="009C2D3F" w:rsidRDefault="00E42577" w:rsidP="005E18CC">
      <w:pPr>
        <w:spacing w:after="0" w:line="240" w:lineRule="auto"/>
        <w:ind w:left="3776" w:right="284" w:hanging="3402"/>
        <w:rPr>
          <w:rFonts w:ascii="Lato" w:hAnsi="Lato"/>
          <w:sz w:val="20"/>
          <w:szCs w:val="20"/>
        </w:rPr>
      </w:pPr>
    </w:p>
    <w:p w14:paraId="7A37256B" w14:textId="0077C65B" w:rsidR="00704C12" w:rsidRDefault="00704C12" w:rsidP="00161019">
      <w:pPr>
        <w:tabs>
          <w:tab w:val="left" w:pos="374"/>
        </w:tabs>
        <w:spacing w:after="0" w:line="240" w:lineRule="auto"/>
        <w:ind w:left="3762" w:right="284" w:hanging="3402"/>
        <w:rPr>
          <w:rFonts w:ascii="Lato" w:hAnsi="Lato"/>
          <w:sz w:val="20"/>
          <w:szCs w:val="20"/>
        </w:rPr>
      </w:pPr>
      <w:r w:rsidRPr="009C2D3F">
        <w:rPr>
          <w:rFonts w:ascii="Lato" w:hAnsi="Lato"/>
          <w:b/>
          <w:sz w:val="20"/>
          <w:szCs w:val="20"/>
        </w:rPr>
        <w:t>“Off-</w:t>
      </w:r>
      <w:r w:rsidR="00C80C9B" w:rsidRPr="009C2D3F">
        <w:rPr>
          <w:rFonts w:ascii="Lato" w:hAnsi="Lato"/>
          <w:b/>
          <w:sz w:val="20"/>
          <w:szCs w:val="20"/>
        </w:rPr>
        <w:t>P</w:t>
      </w:r>
      <w:r w:rsidRPr="009C2D3F">
        <w:rPr>
          <w:rFonts w:ascii="Lato" w:hAnsi="Lato"/>
          <w:b/>
          <w:sz w:val="20"/>
          <w:szCs w:val="20"/>
        </w:rPr>
        <w:t xml:space="preserve">ayroll </w:t>
      </w:r>
      <w:r w:rsidR="00BA1EF6" w:rsidRPr="009C2D3F">
        <w:rPr>
          <w:rFonts w:ascii="Lato" w:hAnsi="Lato"/>
          <w:b/>
          <w:sz w:val="20"/>
          <w:szCs w:val="20"/>
        </w:rPr>
        <w:t>Rules</w:t>
      </w:r>
      <w:r w:rsidRPr="009C2D3F">
        <w:rPr>
          <w:rFonts w:ascii="Lato" w:hAnsi="Lato"/>
          <w:b/>
          <w:sz w:val="20"/>
          <w:szCs w:val="20"/>
        </w:rPr>
        <w:t xml:space="preserve">” </w:t>
      </w:r>
      <w:r w:rsidRPr="009C2D3F">
        <w:rPr>
          <w:rFonts w:ascii="Lato" w:hAnsi="Lato"/>
          <w:b/>
          <w:sz w:val="20"/>
          <w:szCs w:val="20"/>
        </w:rPr>
        <w:tab/>
      </w:r>
      <w:r w:rsidRPr="009C2D3F">
        <w:rPr>
          <w:rFonts w:ascii="Lato" w:hAnsi="Lato"/>
          <w:sz w:val="20"/>
          <w:szCs w:val="20"/>
        </w:rPr>
        <w:t xml:space="preserve">means </w:t>
      </w:r>
      <w:r w:rsidR="00FD5636">
        <w:rPr>
          <w:rFonts w:ascii="Lato" w:hAnsi="Lato"/>
          <w:sz w:val="20"/>
          <w:szCs w:val="20"/>
        </w:rPr>
        <w:t xml:space="preserve">Part 2, </w:t>
      </w:r>
      <w:r w:rsidRPr="009C2D3F">
        <w:rPr>
          <w:rFonts w:ascii="Lato" w:hAnsi="Lato"/>
          <w:sz w:val="20"/>
          <w:szCs w:val="20"/>
        </w:rPr>
        <w:t xml:space="preserve">Chapter 10 </w:t>
      </w:r>
      <w:proofErr w:type="spellStart"/>
      <w:r w:rsidRPr="009C2D3F">
        <w:rPr>
          <w:rFonts w:ascii="Lato" w:hAnsi="Lato"/>
          <w:sz w:val="20"/>
          <w:szCs w:val="20"/>
        </w:rPr>
        <w:t>ITEPA</w:t>
      </w:r>
      <w:proofErr w:type="spellEnd"/>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 1</w:t>
      </w:r>
      <w:r w:rsidR="00CE2237">
        <w:rPr>
          <w:rFonts w:ascii="Lato" w:hAnsi="Lato"/>
          <w:i/>
          <w:sz w:val="20"/>
          <w:szCs w:val="20"/>
          <w:highlight w:val="lightGray"/>
        </w:rPr>
        <w:t>6</w:t>
      </w:r>
      <w:r w:rsidRPr="009C2D3F">
        <w:rPr>
          <w:rFonts w:ascii="Lato" w:hAnsi="Lato"/>
          <w:sz w:val="20"/>
          <w:szCs w:val="20"/>
          <w:highlight w:val="lightGray"/>
        </w:rPr>
        <w:t>]</w:t>
      </w:r>
    </w:p>
    <w:p w14:paraId="0E0132DB" w14:textId="77777777" w:rsidR="00161019" w:rsidRPr="009C2D3F" w:rsidRDefault="00161019" w:rsidP="00B759E6">
      <w:pPr>
        <w:tabs>
          <w:tab w:val="left" w:pos="374"/>
        </w:tabs>
        <w:spacing w:after="0" w:line="240" w:lineRule="auto"/>
        <w:ind w:left="3762" w:right="284" w:hanging="3402"/>
        <w:rPr>
          <w:rFonts w:ascii="Lato" w:hAnsi="Lato"/>
          <w:sz w:val="20"/>
          <w:szCs w:val="20"/>
        </w:rPr>
      </w:pPr>
    </w:p>
    <w:p w14:paraId="0B91B103" w14:textId="7D7654FF" w:rsidR="00704C12" w:rsidRDefault="00313511" w:rsidP="00161019">
      <w:pPr>
        <w:spacing w:after="0" w:line="240" w:lineRule="auto"/>
        <w:ind w:left="3759" w:right="284" w:hanging="3402"/>
        <w:rPr>
          <w:rFonts w:ascii="Lato" w:hAnsi="Lato"/>
          <w:sz w:val="20"/>
          <w:szCs w:val="20"/>
        </w:rPr>
      </w:pPr>
      <w:r w:rsidRPr="009C2D3F" w:rsidDel="00313511">
        <w:rPr>
          <w:rFonts w:ascii="Lato" w:hAnsi="Lato"/>
          <w:b/>
          <w:sz w:val="20"/>
          <w:szCs w:val="20"/>
        </w:rPr>
        <w:t xml:space="preserve"> </w:t>
      </w:r>
      <w:r w:rsidR="00704C12" w:rsidRPr="009C2D3F">
        <w:rPr>
          <w:rFonts w:ascii="Lato" w:hAnsi="Lato"/>
          <w:b/>
          <w:sz w:val="20"/>
          <w:szCs w:val="20"/>
        </w:rPr>
        <w:t>“Outside IR35”</w:t>
      </w:r>
      <w:r w:rsidR="00704C12" w:rsidRPr="009C2D3F">
        <w:rPr>
          <w:rFonts w:ascii="Lato" w:hAnsi="Lato"/>
          <w:sz w:val="20"/>
          <w:szCs w:val="20"/>
        </w:rPr>
        <w:tab/>
        <w:t xml:space="preserve">means an Assignment which the </w:t>
      </w:r>
      <w:r w:rsidR="0046324C">
        <w:rPr>
          <w:rFonts w:ascii="Lato" w:hAnsi="Lato"/>
          <w:sz w:val="20"/>
          <w:szCs w:val="20"/>
        </w:rPr>
        <w:t>PSC</w:t>
      </w:r>
      <w:r w:rsidR="00704C12" w:rsidRPr="009C2D3F">
        <w:rPr>
          <w:rFonts w:ascii="Lato" w:hAnsi="Lato"/>
          <w:sz w:val="20"/>
          <w:szCs w:val="20"/>
        </w:rPr>
        <w:t xml:space="preserve"> has determined does not meet the </w:t>
      </w:r>
      <w:r w:rsidR="00A14D0B">
        <w:rPr>
          <w:rFonts w:ascii="Lato" w:hAnsi="Lato"/>
          <w:sz w:val="20"/>
          <w:szCs w:val="20"/>
        </w:rPr>
        <w:t>conditions</w:t>
      </w:r>
      <w:r w:rsidR="00A14D0B" w:rsidRPr="009C2D3F">
        <w:rPr>
          <w:rFonts w:ascii="Lato" w:hAnsi="Lato"/>
          <w:sz w:val="20"/>
          <w:szCs w:val="20"/>
        </w:rPr>
        <w:t xml:space="preserve"> </w:t>
      </w:r>
      <w:r w:rsidR="00704C12" w:rsidRPr="009C2D3F">
        <w:rPr>
          <w:rFonts w:ascii="Lato" w:hAnsi="Lato"/>
          <w:sz w:val="20"/>
          <w:szCs w:val="20"/>
        </w:rPr>
        <w:t xml:space="preserve">of Section 61M </w:t>
      </w:r>
      <w:proofErr w:type="spellStart"/>
      <w:r w:rsidR="00704C12" w:rsidRPr="009C2D3F">
        <w:rPr>
          <w:rFonts w:ascii="Lato" w:hAnsi="Lato"/>
          <w:sz w:val="20"/>
          <w:szCs w:val="20"/>
        </w:rPr>
        <w:t>ITEPA</w:t>
      </w:r>
      <w:proofErr w:type="spellEnd"/>
      <w:r w:rsidR="00704C12" w:rsidRPr="009C2D3F">
        <w:rPr>
          <w:rFonts w:ascii="Lato" w:hAnsi="Lato"/>
          <w:sz w:val="20"/>
          <w:szCs w:val="20"/>
        </w:rPr>
        <w:t xml:space="preserve">; </w:t>
      </w:r>
      <w:r w:rsidR="00704C12" w:rsidRPr="009C2D3F">
        <w:rPr>
          <w:rFonts w:ascii="Lato" w:hAnsi="Lato"/>
          <w:sz w:val="20"/>
          <w:szCs w:val="20"/>
          <w:highlight w:val="lightGray"/>
        </w:rPr>
        <w:t>[</w:t>
      </w:r>
      <w:r w:rsidR="00704C12" w:rsidRPr="009C2D3F">
        <w:rPr>
          <w:rFonts w:ascii="Lato" w:hAnsi="Lato"/>
          <w:i/>
          <w:sz w:val="20"/>
          <w:szCs w:val="20"/>
          <w:highlight w:val="lightGray"/>
        </w:rPr>
        <w:t>see Note 17</w:t>
      </w:r>
      <w:r w:rsidR="00704C12" w:rsidRPr="009C2D3F">
        <w:rPr>
          <w:rFonts w:ascii="Lato" w:hAnsi="Lato"/>
          <w:sz w:val="20"/>
          <w:szCs w:val="20"/>
          <w:highlight w:val="lightGray"/>
        </w:rPr>
        <w:t>]</w:t>
      </w:r>
      <w:r w:rsidR="00704C12" w:rsidRPr="009C2D3F">
        <w:rPr>
          <w:rFonts w:ascii="Lato" w:hAnsi="Lato"/>
          <w:sz w:val="20"/>
          <w:szCs w:val="20"/>
        </w:rPr>
        <w:t xml:space="preserve">   </w:t>
      </w:r>
    </w:p>
    <w:p w14:paraId="412CD7A3" w14:textId="77777777" w:rsidR="00E42577" w:rsidRPr="009C2D3F" w:rsidRDefault="00E42577" w:rsidP="005E18CC">
      <w:pPr>
        <w:spacing w:after="0" w:line="240" w:lineRule="auto"/>
        <w:ind w:left="3759" w:right="284" w:hanging="3402"/>
        <w:rPr>
          <w:rFonts w:ascii="Lato" w:hAnsi="Lato"/>
          <w:sz w:val="20"/>
          <w:szCs w:val="20"/>
        </w:rPr>
      </w:pPr>
    </w:p>
    <w:p w14:paraId="1981121D" w14:textId="5F08ABF6"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“Period of Extended Hire”</w:t>
      </w:r>
      <w:r w:rsidRPr="009C2D3F">
        <w:rPr>
          <w:rFonts w:ascii="Lato" w:hAnsi="Lato"/>
          <w:sz w:val="20"/>
          <w:szCs w:val="20"/>
        </w:rPr>
        <w:t xml:space="preserve"> </w:t>
      </w:r>
      <w:r w:rsidRPr="009C2D3F">
        <w:rPr>
          <w:rFonts w:ascii="Lato" w:hAnsi="Lato"/>
          <w:sz w:val="20"/>
          <w:szCs w:val="20"/>
        </w:rPr>
        <w:tab/>
      </w:r>
      <w:bookmarkStart w:id="7" w:name="_Hlk50729073"/>
      <w:r w:rsidRPr="009C2D3F">
        <w:rPr>
          <w:rFonts w:ascii="Lato" w:hAnsi="Lato"/>
          <w:sz w:val="20"/>
          <w:szCs w:val="20"/>
        </w:rPr>
        <w:t xml:space="preserve">means (for the purposes of the Conduct Regulations) any additional period that the Client wishes a Temporary Resource to be supplied beyond the duration of the original Assignment or series of Assignments </w:t>
      </w:r>
      <w:r w:rsidR="00825F13">
        <w:rPr>
          <w:rFonts w:ascii="Lato" w:hAnsi="Lato"/>
          <w:sz w:val="20"/>
          <w:szCs w:val="20"/>
        </w:rPr>
        <w:t>instead of</w:t>
      </w:r>
      <w:r w:rsidRPr="009C2D3F">
        <w:rPr>
          <w:rFonts w:ascii="Lato" w:hAnsi="Lato"/>
          <w:sz w:val="20"/>
          <w:szCs w:val="20"/>
        </w:rPr>
        <w:t xml:space="preserve"> paying a Transfer Fee</w:t>
      </w:r>
      <w:bookmarkEnd w:id="7"/>
      <w:r w:rsidRPr="009C2D3F">
        <w:rPr>
          <w:rFonts w:ascii="Lato" w:hAnsi="Lato"/>
          <w:sz w:val="20"/>
          <w:szCs w:val="20"/>
        </w:rPr>
        <w:t xml:space="preserve">;   </w:t>
      </w:r>
    </w:p>
    <w:p w14:paraId="6AB9EEBE" w14:textId="77777777" w:rsidR="00161019" w:rsidRPr="009C2D3F" w:rsidRDefault="00161019" w:rsidP="00B759E6">
      <w:pPr>
        <w:spacing w:after="0" w:line="240" w:lineRule="auto"/>
        <w:ind w:left="3776" w:right="284" w:hanging="3402"/>
        <w:rPr>
          <w:rFonts w:ascii="Lato" w:hAnsi="Lato"/>
          <w:sz w:val="20"/>
          <w:szCs w:val="20"/>
        </w:rPr>
      </w:pPr>
    </w:p>
    <w:p w14:paraId="51C3299A" w14:textId="44D9B3ED" w:rsidR="00DF3BCA" w:rsidRDefault="00DF3BCA" w:rsidP="00DF3BCA">
      <w:pPr>
        <w:tabs>
          <w:tab w:val="left" w:pos="374"/>
          <w:tab w:val="left" w:pos="3366"/>
        </w:tabs>
        <w:spacing w:after="0" w:line="240" w:lineRule="auto"/>
        <w:ind w:left="3776" w:right="284" w:hanging="3402"/>
        <w:rPr>
          <w:rFonts w:ascii="Lato" w:hAnsi="Lato"/>
          <w:bCs/>
          <w:sz w:val="20"/>
          <w:szCs w:val="20"/>
          <w:lang w:eastAsia="en-GB"/>
        </w:rPr>
      </w:pPr>
      <w:r w:rsidRPr="00403FB7">
        <w:rPr>
          <w:rFonts w:ascii="Lato" w:hAnsi="Lato"/>
          <w:b/>
          <w:bCs/>
          <w:sz w:val="20"/>
          <w:szCs w:val="20"/>
          <w:lang w:eastAsia="en-GB"/>
        </w:rPr>
        <w:t>“</w:t>
      </w:r>
      <w:r w:rsidRPr="00403FB7">
        <w:rPr>
          <w:rFonts w:ascii="Lato" w:hAnsi="Lato"/>
          <w:b/>
          <w:bCs/>
          <w:sz w:val="20"/>
          <w:szCs w:val="20"/>
        </w:rPr>
        <w:t>PSC</w:t>
      </w:r>
      <w:r w:rsidRPr="00403FB7">
        <w:rPr>
          <w:rFonts w:ascii="Lato" w:hAnsi="Lato"/>
          <w:b/>
          <w:bCs/>
          <w:sz w:val="20"/>
          <w:szCs w:val="20"/>
          <w:lang w:eastAsia="en-GB"/>
        </w:rPr>
        <w:t>”</w:t>
      </w:r>
      <w:r w:rsidRPr="00403FB7">
        <w:rPr>
          <w:rFonts w:ascii="Lato" w:hAnsi="Lato"/>
          <w:b/>
          <w:bCs/>
          <w:sz w:val="20"/>
          <w:szCs w:val="20"/>
          <w:lang w:eastAsia="en-GB"/>
        </w:rPr>
        <w:tab/>
      </w:r>
      <w:r w:rsidRPr="00403FB7">
        <w:rPr>
          <w:rFonts w:ascii="Lato" w:hAnsi="Lato"/>
          <w:b/>
          <w:bCs/>
          <w:sz w:val="20"/>
          <w:szCs w:val="20"/>
          <w:lang w:eastAsia="en-GB"/>
        </w:rPr>
        <w:tab/>
      </w:r>
      <w:r w:rsidRPr="00403FB7">
        <w:rPr>
          <w:rFonts w:ascii="Lato" w:hAnsi="Lato"/>
          <w:bCs/>
          <w:sz w:val="20"/>
          <w:szCs w:val="20"/>
          <w:lang w:eastAsia="en-GB"/>
        </w:rPr>
        <w:t>means an Intermediary in which the Temporary Resource meets the Conditions of Liability, and where relevant includes the</w:t>
      </w:r>
      <w:r w:rsidR="00E84824" w:rsidRPr="00403FB7">
        <w:rPr>
          <w:rFonts w:ascii="Lato" w:hAnsi="Lato"/>
          <w:bCs/>
          <w:sz w:val="20"/>
          <w:szCs w:val="20"/>
          <w:lang w:eastAsia="en-GB"/>
        </w:rPr>
        <w:t xml:space="preserve"> Intermediary Staff </w:t>
      </w:r>
      <w:r w:rsidRPr="00403FB7">
        <w:rPr>
          <w:rFonts w:ascii="Lato" w:hAnsi="Lato"/>
          <w:bCs/>
          <w:sz w:val="20"/>
          <w:szCs w:val="20"/>
          <w:lang w:eastAsia="en-GB"/>
        </w:rPr>
        <w:t xml:space="preserve">providing their services through the PSC and any substitute, or assignees or sub-contractors </w:t>
      </w:r>
      <w:r w:rsidRPr="00403FB7">
        <w:rPr>
          <w:rFonts w:ascii="Lato" w:hAnsi="Lato"/>
          <w:sz w:val="20"/>
          <w:szCs w:val="20"/>
        </w:rPr>
        <w:t xml:space="preserve">to whom the PSC has assigned or sub-contracted the </w:t>
      </w:r>
      <w:r w:rsidR="00041507" w:rsidRPr="00403FB7">
        <w:rPr>
          <w:rFonts w:ascii="Lato" w:hAnsi="Lato"/>
          <w:sz w:val="20"/>
          <w:szCs w:val="20"/>
        </w:rPr>
        <w:t xml:space="preserve">delivery of the </w:t>
      </w:r>
      <w:r w:rsidRPr="00403FB7">
        <w:rPr>
          <w:rFonts w:ascii="Lato" w:hAnsi="Lato"/>
          <w:sz w:val="20"/>
          <w:szCs w:val="20"/>
        </w:rPr>
        <w:t xml:space="preserve">Assignment </w:t>
      </w:r>
      <w:r w:rsidR="00041507" w:rsidRPr="00403FB7">
        <w:rPr>
          <w:rFonts w:ascii="Lato" w:hAnsi="Lato"/>
          <w:sz w:val="20"/>
          <w:szCs w:val="20"/>
        </w:rPr>
        <w:t>Services</w:t>
      </w:r>
      <w:r w:rsidRPr="00403FB7">
        <w:rPr>
          <w:rFonts w:ascii="Lato" w:hAnsi="Lato"/>
          <w:bCs/>
          <w:sz w:val="20"/>
          <w:szCs w:val="20"/>
          <w:lang w:eastAsia="en-GB"/>
        </w:rPr>
        <w:t>;</w:t>
      </w:r>
      <w:r w:rsidRPr="009C2D3F">
        <w:rPr>
          <w:rFonts w:ascii="Lato" w:hAnsi="Lato"/>
          <w:bCs/>
          <w:sz w:val="20"/>
          <w:szCs w:val="20"/>
          <w:lang w:eastAsia="en-GB"/>
        </w:rPr>
        <w:t xml:space="preserve"> </w:t>
      </w:r>
      <w:r w:rsidRPr="009C2D3F">
        <w:rPr>
          <w:rFonts w:ascii="Lato" w:hAnsi="Lato"/>
          <w:sz w:val="20"/>
          <w:szCs w:val="20"/>
          <w:highlight w:val="lightGray"/>
        </w:rPr>
        <w:t>[</w:t>
      </w:r>
      <w:r w:rsidRPr="009C2D3F">
        <w:rPr>
          <w:rFonts w:ascii="Lato" w:hAnsi="Lato"/>
          <w:i/>
          <w:sz w:val="20"/>
          <w:szCs w:val="20"/>
          <w:highlight w:val="lightGray"/>
        </w:rPr>
        <w:t>see Note 1</w:t>
      </w:r>
      <w:r>
        <w:rPr>
          <w:rFonts w:ascii="Lato" w:hAnsi="Lato"/>
          <w:i/>
          <w:sz w:val="20"/>
          <w:szCs w:val="20"/>
          <w:highlight w:val="lightGray"/>
        </w:rPr>
        <w:t>1</w:t>
      </w:r>
      <w:r w:rsidRPr="009C2D3F">
        <w:rPr>
          <w:rFonts w:ascii="Lato" w:hAnsi="Lato"/>
          <w:sz w:val="20"/>
          <w:szCs w:val="20"/>
          <w:highlight w:val="lightGray"/>
        </w:rPr>
        <w:t>]</w:t>
      </w:r>
    </w:p>
    <w:p w14:paraId="4283C49D" w14:textId="77777777" w:rsidR="00161019" w:rsidRDefault="00161019" w:rsidP="00B759E6">
      <w:pPr>
        <w:tabs>
          <w:tab w:val="left" w:pos="374"/>
          <w:tab w:val="left" w:pos="3366"/>
        </w:tabs>
        <w:spacing w:after="0" w:line="240" w:lineRule="auto"/>
        <w:ind w:left="3776" w:right="284" w:hanging="3402"/>
        <w:rPr>
          <w:rFonts w:ascii="Lato" w:hAnsi="Lato"/>
          <w:sz w:val="20"/>
          <w:szCs w:val="20"/>
        </w:rPr>
      </w:pPr>
    </w:p>
    <w:p w14:paraId="4068E967" w14:textId="620131AC" w:rsidR="00704C12" w:rsidRDefault="00704C12" w:rsidP="00B759E6">
      <w:pPr>
        <w:tabs>
          <w:tab w:val="left" w:pos="374"/>
          <w:tab w:val="left" w:pos="3366"/>
        </w:tabs>
        <w:spacing w:after="0" w:line="240" w:lineRule="auto"/>
        <w:ind w:left="3776" w:right="284" w:hanging="3402"/>
        <w:rPr>
          <w:rFonts w:ascii="Lato" w:hAnsi="Lato"/>
          <w:bCs/>
          <w:sz w:val="20"/>
          <w:szCs w:val="20"/>
          <w:lang w:eastAsia="en-GB"/>
        </w:rPr>
      </w:pPr>
      <w:r w:rsidRPr="009C2D3F">
        <w:rPr>
          <w:rFonts w:ascii="Lato" w:hAnsi="Lato"/>
          <w:b/>
          <w:bCs/>
          <w:sz w:val="20"/>
          <w:szCs w:val="20"/>
          <w:lang w:eastAsia="en-GB"/>
        </w:rPr>
        <w:t>“Qualifying Period”</w:t>
      </w:r>
      <w:r w:rsidRPr="009C2D3F">
        <w:rPr>
          <w:rFonts w:ascii="Lato" w:hAnsi="Lato"/>
          <w:sz w:val="20"/>
          <w:szCs w:val="20"/>
        </w:rPr>
        <w:tab/>
      </w:r>
      <w:r w:rsidRPr="009C2D3F">
        <w:rPr>
          <w:rFonts w:ascii="Lato" w:hAnsi="Lato"/>
          <w:sz w:val="20"/>
          <w:szCs w:val="20"/>
        </w:rPr>
        <w:tab/>
        <w:t xml:space="preserve">means (for the purposes of the </w:t>
      </w:r>
      <w:proofErr w:type="spellStart"/>
      <w:r w:rsidRPr="009C2D3F">
        <w:rPr>
          <w:rFonts w:ascii="Lato" w:hAnsi="Lato"/>
          <w:sz w:val="20"/>
          <w:szCs w:val="20"/>
        </w:rPr>
        <w:t>AWR</w:t>
      </w:r>
      <w:proofErr w:type="spellEnd"/>
      <w:r w:rsidRPr="009C2D3F">
        <w:rPr>
          <w:rFonts w:ascii="Lato" w:hAnsi="Lato"/>
          <w:sz w:val="20"/>
          <w:szCs w:val="20"/>
        </w:rPr>
        <w:t xml:space="preserve">) </w:t>
      </w:r>
      <w:r w:rsidRPr="009C2D3F">
        <w:rPr>
          <w:rFonts w:ascii="Lato" w:hAnsi="Lato"/>
          <w:bCs/>
          <w:sz w:val="20"/>
          <w:szCs w:val="20"/>
        </w:rPr>
        <w:t xml:space="preserve">12 continuous Calendar Weeks during the whole or part of which the </w:t>
      </w:r>
      <w:r w:rsidR="00304D2E">
        <w:rPr>
          <w:rFonts w:ascii="Lato" w:hAnsi="Lato"/>
          <w:bCs/>
          <w:sz w:val="20"/>
          <w:szCs w:val="20"/>
        </w:rPr>
        <w:t>Agency Worker</w:t>
      </w:r>
      <w:r w:rsidRPr="009C2D3F">
        <w:rPr>
          <w:rFonts w:ascii="Lato" w:hAnsi="Lato"/>
          <w:bCs/>
          <w:sz w:val="20"/>
          <w:szCs w:val="20"/>
        </w:rPr>
        <w:t xml:space="preserve"> </w:t>
      </w:r>
      <w:r w:rsidRPr="009C2D3F">
        <w:rPr>
          <w:rFonts w:ascii="Lato" w:hAnsi="Lato"/>
          <w:sz w:val="20"/>
          <w:szCs w:val="20"/>
        </w:rPr>
        <w:t>is supplied by one or more Temporary Work Agencies to the relevant Client to work temporarily for and under the supervision and direction of the relevant</w:t>
      </w:r>
      <w:r w:rsidRPr="009C2D3F">
        <w:rPr>
          <w:rFonts w:ascii="Lato" w:hAnsi="Lato"/>
          <w:b/>
          <w:sz w:val="20"/>
          <w:szCs w:val="20"/>
        </w:rPr>
        <w:t xml:space="preserve"> </w:t>
      </w:r>
      <w:r w:rsidRPr="009C2D3F">
        <w:rPr>
          <w:rFonts w:ascii="Lato" w:hAnsi="Lato"/>
          <w:sz w:val="20"/>
          <w:szCs w:val="20"/>
        </w:rPr>
        <w:t xml:space="preserve">Client </w:t>
      </w:r>
      <w:r w:rsidRPr="009C2D3F">
        <w:rPr>
          <w:rFonts w:ascii="Lato" w:hAnsi="Lato"/>
          <w:bCs/>
          <w:sz w:val="20"/>
          <w:szCs w:val="20"/>
        </w:rPr>
        <w:t>in the same role;</w:t>
      </w:r>
      <w:r w:rsidRPr="009C2D3F">
        <w:rPr>
          <w:rFonts w:ascii="Lato" w:hAnsi="Lato"/>
          <w:b/>
          <w:bCs/>
          <w:sz w:val="20"/>
          <w:szCs w:val="20"/>
          <w:lang w:eastAsia="en-GB"/>
        </w:rPr>
        <w:t xml:space="preserve"> </w:t>
      </w:r>
      <w:r w:rsidRPr="009C2D3F">
        <w:rPr>
          <w:rFonts w:ascii="Lato" w:hAnsi="Lato"/>
          <w:bCs/>
          <w:sz w:val="20"/>
          <w:szCs w:val="20"/>
          <w:highlight w:val="lightGray"/>
          <w:lang w:eastAsia="en-GB"/>
        </w:rPr>
        <w:t>[</w:t>
      </w:r>
      <w:r w:rsidRPr="009C2D3F">
        <w:rPr>
          <w:rFonts w:ascii="Lato" w:hAnsi="Lato"/>
          <w:bCs/>
          <w:i/>
          <w:sz w:val="20"/>
          <w:szCs w:val="20"/>
          <w:highlight w:val="lightGray"/>
          <w:lang w:eastAsia="en-GB"/>
        </w:rPr>
        <w:t>see Note 1</w:t>
      </w:r>
      <w:r w:rsidR="00CE2237">
        <w:rPr>
          <w:rFonts w:ascii="Lato" w:hAnsi="Lato"/>
          <w:bCs/>
          <w:i/>
          <w:sz w:val="20"/>
          <w:szCs w:val="20"/>
          <w:highlight w:val="lightGray"/>
          <w:lang w:eastAsia="en-GB"/>
        </w:rPr>
        <w:t>8</w:t>
      </w:r>
      <w:r w:rsidRPr="009C2D3F">
        <w:rPr>
          <w:rFonts w:ascii="Lato" w:hAnsi="Lato"/>
          <w:bCs/>
          <w:sz w:val="20"/>
          <w:szCs w:val="20"/>
          <w:highlight w:val="lightGray"/>
          <w:lang w:eastAsia="en-GB"/>
        </w:rPr>
        <w:t>]</w:t>
      </w:r>
    </w:p>
    <w:p w14:paraId="62DB7E1B" w14:textId="77777777" w:rsidR="00DF3BCA" w:rsidRPr="009C2D3F" w:rsidRDefault="00DF3BCA" w:rsidP="00B759E6">
      <w:pPr>
        <w:tabs>
          <w:tab w:val="left" w:pos="374"/>
          <w:tab w:val="left" w:pos="3366"/>
        </w:tabs>
        <w:spacing w:after="0" w:line="240" w:lineRule="auto"/>
        <w:ind w:left="3776" w:right="284" w:hanging="3402"/>
        <w:rPr>
          <w:rFonts w:ascii="Lato" w:hAnsi="Lato"/>
          <w:b/>
          <w:bCs/>
          <w:sz w:val="20"/>
          <w:szCs w:val="20"/>
          <w:lang w:eastAsia="en-GB"/>
        </w:rPr>
      </w:pPr>
    </w:p>
    <w:p w14:paraId="02864373" w14:textId="541AA210" w:rsidR="00704C12" w:rsidRDefault="00704C12" w:rsidP="00161019">
      <w:pPr>
        <w:spacing w:after="0" w:line="240" w:lineRule="auto"/>
        <w:ind w:left="3776" w:right="284" w:hanging="3402"/>
        <w:rPr>
          <w:rFonts w:ascii="Lato" w:hAnsi="Lato"/>
          <w:sz w:val="20"/>
          <w:szCs w:val="20"/>
        </w:rPr>
      </w:pPr>
      <w:r w:rsidRPr="009C2D3F">
        <w:rPr>
          <w:rFonts w:ascii="Lato" w:hAnsi="Lato"/>
          <w:b/>
          <w:sz w:val="20"/>
          <w:szCs w:val="20"/>
        </w:rPr>
        <w:t xml:space="preserve">“Relevant Period” </w:t>
      </w:r>
      <w:r w:rsidRPr="009C2D3F">
        <w:rPr>
          <w:rFonts w:ascii="Lato" w:hAnsi="Lato"/>
          <w:b/>
          <w:sz w:val="20"/>
          <w:szCs w:val="20"/>
        </w:rPr>
        <w:tab/>
      </w:r>
      <w:r w:rsidRPr="009C2D3F">
        <w:rPr>
          <w:rFonts w:ascii="Lato" w:hAnsi="Lato"/>
          <w:bCs/>
          <w:sz w:val="20"/>
          <w:szCs w:val="20"/>
          <w:lang w:eastAsia="en-GB"/>
        </w:rPr>
        <w:t xml:space="preserve">means </w:t>
      </w:r>
      <w:r w:rsidRPr="009C2D3F">
        <w:rPr>
          <w:rFonts w:ascii="Lato" w:hAnsi="Lato"/>
          <w:sz w:val="20"/>
          <w:szCs w:val="20"/>
        </w:rPr>
        <w:t xml:space="preserve">(for the purposes of the Conduct Regulations) </w:t>
      </w:r>
      <w:r w:rsidRPr="009C2D3F">
        <w:rPr>
          <w:rFonts w:ascii="Lato" w:hAnsi="Lato"/>
          <w:bCs/>
          <w:sz w:val="20"/>
          <w:szCs w:val="20"/>
          <w:lang w:eastAsia="en-GB"/>
        </w:rPr>
        <w:t xml:space="preserve">whichever ends the later of </w:t>
      </w:r>
      <w:r w:rsidRPr="009C2D3F">
        <w:rPr>
          <w:rFonts w:ascii="Lato" w:hAnsi="Lato"/>
          <w:sz w:val="20"/>
          <w:szCs w:val="20"/>
        </w:rPr>
        <w:t xml:space="preserve">(a) the period of </w:t>
      </w:r>
      <w:r w:rsidR="00704CBE">
        <w:rPr>
          <w:rFonts w:ascii="Lato" w:hAnsi="Lato"/>
          <w:sz w:val="20"/>
          <w:szCs w:val="20"/>
        </w:rPr>
        <w:t>eight</w:t>
      </w:r>
      <w:r w:rsidRPr="009C2D3F">
        <w:rPr>
          <w:rFonts w:ascii="Lato" w:hAnsi="Lato"/>
          <w:sz w:val="20"/>
          <w:szCs w:val="20"/>
        </w:rPr>
        <w:t xml:space="preserve"> weeks commencing on the day after the </w:t>
      </w:r>
      <w:r w:rsidRPr="009C2D3F">
        <w:rPr>
          <w:rFonts w:ascii="Lato" w:hAnsi="Lato"/>
          <w:sz w:val="20"/>
          <w:szCs w:val="20"/>
          <w:u w:val="single"/>
        </w:rPr>
        <w:t>last</w:t>
      </w:r>
      <w:r w:rsidRPr="009C2D3F">
        <w:rPr>
          <w:rFonts w:ascii="Lato" w:hAnsi="Lato"/>
          <w:sz w:val="20"/>
          <w:szCs w:val="20"/>
        </w:rPr>
        <w:t xml:space="preserve"> day on which a Temporary Resource worked for the Client having been </w:t>
      </w:r>
      <w:r w:rsidRPr="009C2D3F">
        <w:rPr>
          <w:rFonts w:ascii="Lato" w:hAnsi="Lato"/>
          <w:sz w:val="20"/>
          <w:szCs w:val="20"/>
        </w:rPr>
        <w:lastRenderedPageBreak/>
        <w:t xml:space="preserve">supplied by the Employment Business; or (b) the period of 14 weeks commencing on the </w:t>
      </w:r>
      <w:r w:rsidRPr="009C2D3F">
        <w:rPr>
          <w:rFonts w:ascii="Lato" w:hAnsi="Lato"/>
          <w:sz w:val="20"/>
          <w:szCs w:val="20"/>
          <w:u w:val="single"/>
        </w:rPr>
        <w:t>first</w:t>
      </w:r>
      <w:r w:rsidRPr="009C2D3F">
        <w:rPr>
          <w:rFonts w:ascii="Lato" w:hAnsi="Lato"/>
          <w:sz w:val="20"/>
          <w:szCs w:val="20"/>
        </w:rPr>
        <w:t xml:space="preserve"> day on which a Temporary Resource worked for the Client having been supplied by the Employment Business or 14 weeks from the first day of the most recent Assignment where there has been a break of more than </w:t>
      </w:r>
      <w:r w:rsidR="00704CBE">
        <w:rPr>
          <w:rFonts w:ascii="Lato" w:hAnsi="Lato"/>
          <w:sz w:val="20"/>
          <w:szCs w:val="20"/>
        </w:rPr>
        <w:t>six</w:t>
      </w:r>
      <w:r w:rsidRPr="009C2D3F">
        <w:rPr>
          <w:rFonts w:ascii="Lato" w:hAnsi="Lato"/>
          <w:sz w:val="20"/>
          <w:szCs w:val="20"/>
        </w:rPr>
        <w:t xml:space="preserve"> weeks (42 days) since any previous Assignment; </w:t>
      </w:r>
      <w:r w:rsidRPr="009C2D3F">
        <w:rPr>
          <w:rFonts w:ascii="Lato" w:hAnsi="Lato"/>
          <w:sz w:val="20"/>
          <w:szCs w:val="20"/>
          <w:highlight w:val="lightGray"/>
        </w:rPr>
        <w:t>[</w:t>
      </w:r>
      <w:r w:rsidRPr="009C2D3F">
        <w:rPr>
          <w:rFonts w:ascii="Lato" w:hAnsi="Lato"/>
          <w:i/>
          <w:sz w:val="20"/>
          <w:szCs w:val="20"/>
          <w:highlight w:val="lightGray"/>
        </w:rPr>
        <w:t>see Note 1</w:t>
      </w:r>
      <w:r w:rsidR="00CE2237">
        <w:rPr>
          <w:rFonts w:ascii="Lato" w:hAnsi="Lato"/>
          <w:i/>
          <w:sz w:val="20"/>
          <w:szCs w:val="20"/>
          <w:highlight w:val="lightGray"/>
        </w:rPr>
        <w:t>9</w:t>
      </w:r>
      <w:r w:rsidRPr="009C2D3F">
        <w:rPr>
          <w:rFonts w:ascii="Lato" w:hAnsi="Lato"/>
          <w:sz w:val="20"/>
          <w:szCs w:val="20"/>
          <w:highlight w:val="lightGray"/>
        </w:rPr>
        <w:t>]</w:t>
      </w:r>
    </w:p>
    <w:p w14:paraId="1CC8104A" w14:textId="77777777" w:rsidR="00161019" w:rsidRPr="009C2D3F" w:rsidRDefault="00161019" w:rsidP="00B759E6">
      <w:pPr>
        <w:spacing w:after="0" w:line="240" w:lineRule="auto"/>
        <w:ind w:left="3776" w:right="284" w:hanging="3402"/>
        <w:rPr>
          <w:rFonts w:ascii="Lato" w:hAnsi="Lato"/>
          <w:color w:val="00B050"/>
          <w:sz w:val="20"/>
          <w:szCs w:val="20"/>
        </w:rPr>
      </w:pPr>
    </w:p>
    <w:p w14:paraId="7CE7CD94" w14:textId="5CEEF653" w:rsidR="00704C12" w:rsidRDefault="00704C12" w:rsidP="00B759E6">
      <w:pPr>
        <w:spacing w:after="0" w:line="240" w:lineRule="auto"/>
        <w:ind w:left="3776" w:hanging="3402"/>
        <w:rPr>
          <w:rFonts w:ascii="Lato" w:hAnsi="Lato"/>
          <w:bCs/>
          <w:sz w:val="20"/>
          <w:szCs w:val="20"/>
          <w:lang w:eastAsia="en-GB"/>
        </w:rPr>
      </w:pPr>
      <w:r w:rsidRPr="009C2D3F">
        <w:rPr>
          <w:rFonts w:ascii="Lato" w:hAnsi="Lato"/>
          <w:b/>
          <w:bCs/>
          <w:sz w:val="20"/>
          <w:szCs w:val="20"/>
          <w:lang w:eastAsia="en-GB"/>
        </w:rPr>
        <w:t>“</w:t>
      </w:r>
      <w:r w:rsidRPr="009C2D3F">
        <w:rPr>
          <w:rFonts w:ascii="Lato" w:hAnsi="Lato"/>
          <w:b/>
          <w:sz w:val="20"/>
          <w:szCs w:val="20"/>
        </w:rPr>
        <w:t>Relevant Terms and Conditions</w:t>
      </w:r>
      <w:r w:rsidRPr="009C2D3F">
        <w:rPr>
          <w:rFonts w:ascii="Lato" w:hAnsi="Lato"/>
          <w:b/>
          <w:bCs/>
          <w:sz w:val="20"/>
          <w:szCs w:val="20"/>
          <w:lang w:eastAsia="en-GB"/>
        </w:rPr>
        <w:t>”</w:t>
      </w:r>
      <w:r w:rsidRPr="009C2D3F">
        <w:rPr>
          <w:rFonts w:ascii="Lato" w:hAnsi="Lato"/>
          <w:b/>
          <w:bCs/>
          <w:sz w:val="20"/>
          <w:szCs w:val="20"/>
          <w:lang w:eastAsia="en-GB"/>
        </w:rPr>
        <w:tab/>
      </w:r>
      <w:r w:rsidRPr="009C2D3F">
        <w:rPr>
          <w:rFonts w:ascii="Lato" w:hAnsi="Lato"/>
          <w:bCs/>
          <w:sz w:val="20"/>
          <w:szCs w:val="20"/>
          <w:lang w:eastAsia="en-GB"/>
        </w:rPr>
        <w:t xml:space="preserve">means </w:t>
      </w:r>
      <w:r w:rsidRPr="009C2D3F">
        <w:rPr>
          <w:rFonts w:ascii="Lato" w:hAnsi="Lato"/>
          <w:sz w:val="20"/>
          <w:szCs w:val="20"/>
        </w:rPr>
        <w:t xml:space="preserve">(for the purposes of the </w:t>
      </w:r>
      <w:proofErr w:type="spellStart"/>
      <w:r w:rsidRPr="009C2D3F">
        <w:rPr>
          <w:rFonts w:ascii="Lato" w:hAnsi="Lato"/>
          <w:sz w:val="20"/>
          <w:szCs w:val="20"/>
        </w:rPr>
        <w:t>AWR</w:t>
      </w:r>
      <w:proofErr w:type="spellEnd"/>
      <w:r w:rsidRPr="009C2D3F">
        <w:rPr>
          <w:rFonts w:ascii="Lato" w:hAnsi="Lato"/>
          <w:sz w:val="20"/>
          <w:szCs w:val="20"/>
        </w:rPr>
        <w:t xml:space="preserve">) </w:t>
      </w:r>
      <w:r w:rsidRPr="009C2D3F">
        <w:rPr>
          <w:rFonts w:ascii="Lato" w:hAnsi="Lato"/>
          <w:bCs/>
          <w:sz w:val="20"/>
          <w:szCs w:val="20"/>
          <w:lang w:eastAsia="en-GB"/>
        </w:rPr>
        <w:t>terms and conditions relating to:</w:t>
      </w:r>
    </w:p>
    <w:p w14:paraId="57B84190" w14:textId="77777777" w:rsidR="00704C12" w:rsidRPr="009C2D3F" w:rsidRDefault="00704C12" w:rsidP="00161019">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the duration of working time;</w:t>
      </w:r>
    </w:p>
    <w:p w14:paraId="52B81677" w14:textId="77777777" w:rsidR="00704C12" w:rsidRPr="009C2D3F" w:rsidRDefault="00704C12" w:rsidP="00161019">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night work;</w:t>
      </w:r>
    </w:p>
    <w:p w14:paraId="7B42B54F" w14:textId="77777777" w:rsidR="00704C12" w:rsidRPr="009C2D3F" w:rsidRDefault="00704C12" w:rsidP="005E18CC">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rest periods;</w:t>
      </w:r>
    </w:p>
    <w:p w14:paraId="49328EFC" w14:textId="77777777" w:rsidR="00704C12" w:rsidRPr="009C2D3F" w:rsidRDefault="00704C12" w:rsidP="00B759E6">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rest breaks; and</w:t>
      </w:r>
    </w:p>
    <w:p w14:paraId="33A439FB" w14:textId="13F65C29" w:rsidR="00704C12" w:rsidRPr="001A762E" w:rsidRDefault="00704C12" w:rsidP="00B759E6">
      <w:pPr>
        <w:numPr>
          <w:ilvl w:val="0"/>
          <w:numId w:val="6"/>
        </w:numPr>
        <w:spacing w:after="0" w:line="240" w:lineRule="auto"/>
        <w:ind w:left="3780" w:firstLine="0"/>
        <w:rPr>
          <w:rFonts w:ascii="Lato" w:hAnsi="Lato"/>
          <w:sz w:val="20"/>
          <w:szCs w:val="20"/>
        </w:rPr>
      </w:pPr>
      <w:r w:rsidRPr="009C2D3F">
        <w:rPr>
          <w:rFonts w:ascii="Lato" w:hAnsi="Lato"/>
          <w:bCs/>
          <w:sz w:val="20"/>
          <w:szCs w:val="20"/>
          <w:lang w:eastAsia="en-GB"/>
        </w:rPr>
        <w:t>annual leave</w:t>
      </w:r>
    </w:p>
    <w:p w14:paraId="3E512342" w14:textId="323DF256" w:rsidR="00704C12" w:rsidRPr="009C2D3F" w:rsidRDefault="00704C12" w:rsidP="00B759E6">
      <w:pPr>
        <w:pStyle w:val="BodyTextIndent2"/>
        <w:spacing w:after="0" w:line="240" w:lineRule="auto"/>
        <w:ind w:left="3776" w:right="284" w:firstLine="4"/>
        <w:rPr>
          <w:rFonts w:ascii="Lato" w:hAnsi="Lato"/>
          <w:szCs w:val="20"/>
        </w:rPr>
      </w:pPr>
      <w:r w:rsidRPr="009C2D3F">
        <w:rPr>
          <w:rFonts w:ascii="Lato" w:hAnsi="Lato"/>
          <w:szCs w:val="20"/>
        </w:rPr>
        <w:t>that are ordinarily included in the contracts of employees or workers (as appropriate) of the Client whether by collective agreement or otherwise and including (without limitation) any such terms and conditions that have become contractual by virtue of custom and practice, including copies of all relevant documentation</w:t>
      </w:r>
      <w:r w:rsidRPr="009C2D3F">
        <w:rPr>
          <w:rFonts w:ascii="Lato" w:hAnsi="Lato"/>
          <w:bCs w:val="0"/>
          <w:szCs w:val="20"/>
          <w:lang w:eastAsia="en-GB"/>
        </w:rPr>
        <w:t xml:space="preserve">; </w:t>
      </w:r>
    </w:p>
    <w:p w14:paraId="49C262FB" w14:textId="77777777" w:rsidR="00704C12" w:rsidRPr="009C2D3F" w:rsidRDefault="00704C12" w:rsidP="00B759E6">
      <w:pPr>
        <w:spacing w:after="0" w:line="240" w:lineRule="auto"/>
        <w:ind w:left="3366" w:right="284" w:firstLine="935"/>
        <w:rPr>
          <w:rFonts w:ascii="Lato" w:hAnsi="Lato"/>
          <w:sz w:val="20"/>
          <w:szCs w:val="20"/>
        </w:rPr>
      </w:pPr>
    </w:p>
    <w:p w14:paraId="415C2661" w14:textId="1444AFF8" w:rsidR="00704C12" w:rsidRPr="009C2D3F" w:rsidRDefault="00704C12" w:rsidP="00B759E6">
      <w:pPr>
        <w:spacing w:after="0" w:line="240" w:lineRule="auto"/>
        <w:ind w:left="3776" w:right="284" w:hanging="3402"/>
        <w:rPr>
          <w:rFonts w:ascii="Lato" w:hAnsi="Lato"/>
          <w:sz w:val="20"/>
          <w:szCs w:val="20"/>
        </w:rPr>
      </w:pPr>
      <w:r w:rsidRPr="009C2D3F">
        <w:rPr>
          <w:rFonts w:ascii="Lato" w:hAnsi="Lato"/>
          <w:b/>
          <w:sz w:val="20"/>
          <w:szCs w:val="20"/>
        </w:rPr>
        <w:t xml:space="preserve">“Remuneration” </w:t>
      </w:r>
      <w:r w:rsidRPr="009C2D3F">
        <w:rPr>
          <w:rFonts w:ascii="Lato" w:hAnsi="Lato"/>
          <w:b/>
          <w:sz w:val="20"/>
          <w:szCs w:val="20"/>
        </w:rPr>
        <w:tab/>
      </w:r>
      <w:r w:rsidRPr="009C2D3F">
        <w:rPr>
          <w:rFonts w:ascii="Lato" w:hAnsi="Lato"/>
          <w:sz w:val="20"/>
          <w:szCs w:val="20"/>
        </w:rPr>
        <w:t xml:space="preserve">includes gross base salary or fees, guaranteed and/or anticipated bonus and commission earnings, allowances, inducement payments, the benefit of a company car and all other payments </w:t>
      </w:r>
      <w:bookmarkStart w:id="8" w:name="_Hlk50729314"/>
      <w:r w:rsidR="00DA5F51">
        <w:rPr>
          <w:rFonts w:ascii="Lato" w:hAnsi="Lato"/>
          <w:sz w:val="20"/>
          <w:szCs w:val="20"/>
        </w:rPr>
        <w:t>(</w:t>
      </w:r>
      <w:r w:rsidRPr="009C2D3F">
        <w:rPr>
          <w:rFonts w:ascii="Lato" w:hAnsi="Lato"/>
          <w:sz w:val="20"/>
          <w:szCs w:val="20"/>
        </w:rPr>
        <w:t>taxable</w:t>
      </w:r>
      <w:r w:rsidR="00DA5F51">
        <w:rPr>
          <w:rFonts w:ascii="Lato" w:hAnsi="Lato"/>
          <w:sz w:val="20"/>
          <w:szCs w:val="20"/>
        </w:rPr>
        <w:t xml:space="preserve"> </w:t>
      </w:r>
      <w:r w:rsidRPr="009C2D3F">
        <w:rPr>
          <w:rFonts w:ascii="Lato" w:hAnsi="Lato"/>
          <w:sz w:val="20"/>
          <w:szCs w:val="20"/>
        </w:rPr>
        <w:t xml:space="preserve">and non-taxable) </w:t>
      </w:r>
      <w:bookmarkEnd w:id="8"/>
      <w:r w:rsidRPr="009C2D3F">
        <w:rPr>
          <w:rFonts w:ascii="Lato" w:hAnsi="Lato"/>
          <w:sz w:val="20"/>
          <w:szCs w:val="20"/>
        </w:rPr>
        <w:t>payable to or receivable by a Temporary Resource for services rendered to or on behalf of the Client. Where a company car is provided, a notional amount will be added to the sums paid to the relevant Temporary Resource in order to calculate the Transfer Fee</w:t>
      </w:r>
      <w:r w:rsidR="001E644E" w:rsidRPr="009C2D3F">
        <w:rPr>
          <w:rFonts w:ascii="Lato" w:hAnsi="Lato"/>
          <w:sz w:val="20"/>
          <w:szCs w:val="20"/>
        </w:rPr>
        <w:t>;</w:t>
      </w:r>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 xml:space="preserve">see Note </w:t>
      </w:r>
      <w:r w:rsidR="00CE2237">
        <w:rPr>
          <w:rFonts w:ascii="Lato" w:hAnsi="Lato"/>
          <w:i/>
          <w:sz w:val="20"/>
          <w:szCs w:val="20"/>
          <w:highlight w:val="lightGray"/>
        </w:rPr>
        <w:t>20</w:t>
      </w:r>
      <w:r w:rsidRPr="009C2D3F">
        <w:rPr>
          <w:rFonts w:ascii="Lato" w:hAnsi="Lato"/>
          <w:sz w:val="20"/>
          <w:szCs w:val="20"/>
          <w:highlight w:val="lightGray"/>
        </w:rPr>
        <w:t>]</w:t>
      </w:r>
      <w:r w:rsidRPr="009C2D3F">
        <w:rPr>
          <w:rFonts w:ascii="Lato" w:hAnsi="Lato"/>
          <w:sz w:val="20"/>
          <w:szCs w:val="20"/>
        </w:rPr>
        <w:t xml:space="preserve">  </w:t>
      </w:r>
    </w:p>
    <w:p w14:paraId="5C4248E6" w14:textId="75F37532" w:rsidR="001E644E" w:rsidRPr="009C2D3F" w:rsidRDefault="001E644E" w:rsidP="00B759E6">
      <w:pPr>
        <w:spacing w:after="0" w:line="240" w:lineRule="auto"/>
        <w:ind w:left="3776" w:right="284" w:hanging="3402"/>
        <w:rPr>
          <w:rFonts w:ascii="Lato" w:hAnsi="Lato"/>
          <w:sz w:val="20"/>
          <w:szCs w:val="20"/>
        </w:rPr>
      </w:pPr>
    </w:p>
    <w:p w14:paraId="17E3F09C" w14:textId="393CC2E7" w:rsidR="001E644E" w:rsidRPr="009C2D3F" w:rsidRDefault="001E644E" w:rsidP="00B759E6">
      <w:pPr>
        <w:spacing w:after="0" w:line="240" w:lineRule="auto"/>
        <w:ind w:left="3776" w:right="284" w:hanging="3402"/>
        <w:rPr>
          <w:rFonts w:ascii="Lato" w:hAnsi="Lato"/>
          <w:sz w:val="20"/>
          <w:szCs w:val="20"/>
        </w:rPr>
      </w:pPr>
      <w:r w:rsidRPr="009C2D3F">
        <w:rPr>
          <w:rFonts w:ascii="Lato" w:hAnsi="Lato"/>
          <w:b/>
          <w:bCs/>
          <w:sz w:val="20"/>
          <w:szCs w:val="20"/>
        </w:rPr>
        <w:t>“</w:t>
      </w:r>
      <w:r w:rsidRPr="009C2D3F">
        <w:rPr>
          <w:rFonts w:ascii="Lato" w:hAnsi="Lato"/>
          <w:b/>
          <w:sz w:val="20"/>
          <w:szCs w:val="20"/>
        </w:rPr>
        <w:t>Safeguarding Legislation</w:t>
      </w:r>
      <w:r w:rsidRPr="009C2D3F">
        <w:rPr>
          <w:rFonts w:ascii="Lato" w:hAnsi="Lato"/>
          <w:b/>
          <w:bCs/>
          <w:sz w:val="20"/>
          <w:szCs w:val="20"/>
        </w:rPr>
        <w:t>”</w:t>
      </w:r>
      <w:r w:rsidRPr="009C2D3F">
        <w:rPr>
          <w:rFonts w:ascii="Lato" w:hAnsi="Lato"/>
          <w:sz w:val="20"/>
          <w:szCs w:val="20"/>
        </w:rPr>
        <w:t xml:space="preserve"> </w:t>
      </w:r>
      <w:r w:rsidRPr="009C2D3F">
        <w:rPr>
          <w:rFonts w:ascii="Lato" w:hAnsi="Lato"/>
          <w:sz w:val="20"/>
          <w:szCs w:val="20"/>
        </w:rPr>
        <w:tab/>
        <w:t xml:space="preserve">means the Safeguarding Vulnerable Groups Act 2006 </w:t>
      </w:r>
      <w:r w:rsidRPr="009C2D3F">
        <w:rPr>
          <w:rFonts w:ascii="Lato" w:hAnsi="Lato"/>
          <w:sz w:val="20"/>
          <w:szCs w:val="20"/>
          <w:highlight w:val="lightGray"/>
        </w:rPr>
        <w:t>[or the Protecting Vulnerable Groups (Scotland) Act 2007 or the Safeguarding Vulnerable Groups (Northern Ireland) Order 2007]</w:t>
      </w:r>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 xml:space="preserve">see Note </w:t>
      </w:r>
      <w:r w:rsidR="00CE2237">
        <w:rPr>
          <w:rFonts w:ascii="Lato" w:hAnsi="Lato"/>
          <w:i/>
          <w:sz w:val="20"/>
          <w:szCs w:val="20"/>
          <w:highlight w:val="lightGray"/>
        </w:rPr>
        <w:t>21</w:t>
      </w:r>
      <w:r w:rsidRPr="009C2D3F">
        <w:rPr>
          <w:rFonts w:ascii="Lato" w:hAnsi="Lato"/>
          <w:sz w:val="20"/>
          <w:szCs w:val="20"/>
          <w:highlight w:val="lightGray"/>
        </w:rPr>
        <w:t>]</w:t>
      </w:r>
    </w:p>
    <w:p w14:paraId="08D20218" w14:textId="77777777" w:rsidR="00220FE6" w:rsidRPr="009C2D3F" w:rsidRDefault="00220FE6" w:rsidP="00B759E6">
      <w:pPr>
        <w:spacing w:after="0" w:line="240" w:lineRule="auto"/>
        <w:ind w:left="3776" w:right="284" w:hanging="3402"/>
        <w:rPr>
          <w:rFonts w:ascii="Lato" w:hAnsi="Lato"/>
          <w:sz w:val="20"/>
          <w:szCs w:val="20"/>
        </w:rPr>
      </w:pPr>
    </w:p>
    <w:p w14:paraId="03A2EF1B" w14:textId="2AF05821" w:rsidR="00704C12" w:rsidRPr="009C2D3F" w:rsidRDefault="00313511" w:rsidP="00B759E6">
      <w:pPr>
        <w:spacing w:after="0" w:line="240" w:lineRule="auto"/>
        <w:ind w:left="3759" w:right="284" w:hanging="3402"/>
        <w:rPr>
          <w:rFonts w:ascii="Lato" w:hAnsi="Lato"/>
          <w:sz w:val="20"/>
          <w:szCs w:val="20"/>
        </w:rPr>
      </w:pPr>
      <w:r w:rsidRPr="009C2D3F" w:rsidDel="00313511">
        <w:rPr>
          <w:rFonts w:ascii="Lato" w:hAnsi="Lato"/>
          <w:b/>
          <w:bCs/>
          <w:sz w:val="20"/>
          <w:szCs w:val="20"/>
        </w:rPr>
        <w:t xml:space="preserve"> </w:t>
      </w:r>
      <w:r w:rsidR="00704C12" w:rsidRPr="009C2D3F">
        <w:rPr>
          <w:rFonts w:ascii="Lato" w:hAnsi="Lato"/>
          <w:b/>
          <w:bCs/>
          <w:sz w:val="20"/>
          <w:szCs w:val="20"/>
        </w:rPr>
        <w:t xml:space="preserve">“Temporary Resource” </w:t>
      </w:r>
      <w:r w:rsidR="00704C12" w:rsidRPr="009C2D3F">
        <w:rPr>
          <w:rFonts w:ascii="Lato" w:hAnsi="Lato"/>
          <w:b/>
          <w:bCs/>
          <w:sz w:val="20"/>
          <w:szCs w:val="20"/>
        </w:rPr>
        <w:tab/>
      </w:r>
      <w:r w:rsidR="00704C12" w:rsidRPr="009C2D3F">
        <w:rPr>
          <w:rFonts w:ascii="Lato" w:hAnsi="Lato"/>
          <w:bCs/>
          <w:sz w:val="20"/>
          <w:szCs w:val="20"/>
        </w:rPr>
        <w:t>means</w:t>
      </w:r>
      <w:r w:rsidR="00704C12" w:rsidRPr="009C2D3F">
        <w:rPr>
          <w:rFonts w:ascii="Lato" w:hAnsi="Lato"/>
          <w:b/>
          <w:bCs/>
          <w:sz w:val="20"/>
          <w:szCs w:val="20"/>
        </w:rPr>
        <w:t xml:space="preserve"> </w:t>
      </w:r>
      <w:r w:rsidR="00704C12" w:rsidRPr="009C2D3F">
        <w:rPr>
          <w:rFonts w:ascii="Lato" w:hAnsi="Lato"/>
          <w:sz w:val="20"/>
          <w:szCs w:val="20"/>
        </w:rPr>
        <w:t xml:space="preserve">any temporary worker Introduced or supplied by the Employment Business to provide the Assignment Services to a Client, including an </w:t>
      </w:r>
      <w:r w:rsidR="00304D2E">
        <w:rPr>
          <w:rFonts w:ascii="Lato" w:hAnsi="Lato"/>
          <w:sz w:val="20"/>
          <w:szCs w:val="20"/>
        </w:rPr>
        <w:t>Agency Worker</w:t>
      </w:r>
      <w:r w:rsidR="00704C12" w:rsidRPr="009C2D3F">
        <w:rPr>
          <w:rFonts w:ascii="Lato" w:hAnsi="Lato"/>
          <w:sz w:val="20"/>
          <w:szCs w:val="20"/>
        </w:rPr>
        <w:t xml:space="preserve"> and unless otherwise expressly stated, any officer, employee, worker or representative of an Intermediary;</w:t>
      </w:r>
    </w:p>
    <w:p w14:paraId="5054752D" w14:textId="77777777" w:rsidR="00C85781" w:rsidRPr="009C2D3F" w:rsidRDefault="00C85781" w:rsidP="00B759E6">
      <w:pPr>
        <w:spacing w:after="0" w:line="240" w:lineRule="auto"/>
        <w:ind w:left="3759" w:right="284" w:hanging="3402"/>
        <w:rPr>
          <w:rFonts w:ascii="Lato" w:hAnsi="Lato"/>
          <w:b/>
          <w:bCs/>
          <w:sz w:val="20"/>
          <w:szCs w:val="20"/>
        </w:rPr>
      </w:pPr>
    </w:p>
    <w:p w14:paraId="6149DED0" w14:textId="7230058F" w:rsidR="00704C12" w:rsidRPr="009C2D3F" w:rsidRDefault="00704C12" w:rsidP="00B759E6">
      <w:pPr>
        <w:spacing w:after="0" w:line="240" w:lineRule="auto"/>
        <w:ind w:left="3759" w:right="284" w:hanging="3402"/>
        <w:rPr>
          <w:rFonts w:ascii="Lato" w:hAnsi="Lato"/>
          <w:bCs/>
          <w:sz w:val="20"/>
          <w:szCs w:val="20"/>
        </w:rPr>
      </w:pPr>
      <w:r w:rsidRPr="009C2D3F">
        <w:rPr>
          <w:rFonts w:ascii="Lato" w:hAnsi="Lato"/>
          <w:b/>
          <w:bCs/>
          <w:sz w:val="20"/>
          <w:szCs w:val="20"/>
        </w:rPr>
        <w:t>“</w:t>
      </w:r>
      <w:r w:rsidRPr="009C2D3F">
        <w:rPr>
          <w:rFonts w:ascii="Lato" w:hAnsi="Lato"/>
          <w:b/>
          <w:sz w:val="20"/>
          <w:szCs w:val="20"/>
        </w:rPr>
        <w:t>Temporary Work Agency</w:t>
      </w:r>
      <w:r w:rsidRPr="009C2D3F">
        <w:rPr>
          <w:rFonts w:ascii="Lato" w:hAnsi="Lato"/>
          <w:b/>
          <w:bCs/>
          <w:sz w:val="20"/>
          <w:szCs w:val="20"/>
        </w:rPr>
        <w:t>”</w:t>
      </w:r>
      <w:r w:rsidRPr="009C2D3F">
        <w:rPr>
          <w:rFonts w:ascii="Lato" w:hAnsi="Lato"/>
          <w:b/>
          <w:bCs/>
          <w:sz w:val="20"/>
          <w:szCs w:val="20"/>
        </w:rPr>
        <w:tab/>
      </w:r>
      <w:r w:rsidRPr="009C2D3F">
        <w:rPr>
          <w:rFonts w:ascii="Lato" w:hAnsi="Lato"/>
          <w:bCs/>
          <w:sz w:val="20"/>
          <w:szCs w:val="20"/>
        </w:rPr>
        <w:t xml:space="preserve">means as defined in the </w:t>
      </w:r>
      <w:proofErr w:type="spellStart"/>
      <w:r w:rsidRPr="009C2D3F">
        <w:rPr>
          <w:rFonts w:ascii="Lato" w:hAnsi="Lato"/>
          <w:bCs/>
          <w:sz w:val="20"/>
          <w:szCs w:val="20"/>
        </w:rPr>
        <w:t>AWR</w:t>
      </w:r>
      <w:proofErr w:type="spellEnd"/>
      <w:r w:rsidRPr="009C2D3F">
        <w:rPr>
          <w:rFonts w:ascii="Lato" w:hAnsi="Lato"/>
          <w:bCs/>
          <w:sz w:val="20"/>
          <w:szCs w:val="20"/>
        </w:rPr>
        <w:t xml:space="preserve">; </w:t>
      </w:r>
      <w:r w:rsidRPr="009C2D3F">
        <w:rPr>
          <w:rFonts w:ascii="Lato" w:hAnsi="Lato"/>
          <w:bCs/>
          <w:sz w:val="20"/>
          <w:szCs w:val="20"/>
          <w:highlight w:val="lightGray"/>
        </w:rPr>
        <w:t>[</w:t>
      </w:r>
      <w:r w:rsidRPr="009C2D3F">
        <w:rPr>
          <w:rFonts w:ascii="Lato" w:hAnsi="Lato"/>
          <w:bCs/>
          <w:i/>
          <w:sz w:val="20"/>
          <w:szCs w:val="20"/>
          <w:highlight w:val="lightGray"/>
        </w:rPr>
        <w:t>see Note 2</w:t>
      </w:r>
      <w:r w:rsidR="00CE2237">
        <w:rPr>
          <w:rFonts w:ascii="Lato" w:hAnsi="Lato"/>
          <w:bCs/>
          <w:i/>
          <w:sz w:val="20"/>
          <w:szCs w:val="20"/>
          <w:highlight w:val="lightGray"/>
        </w:rPr>
        <w:t>2</w:t>
      </w:r>
      <w:r w:rsidRPr="009C2D3F">
        <w:rPr>
          <w:rFonts w:ascii="Lato" w:hAnsi="Lato"/>
          <w:bCs/>
          <w:sz w:val="20"/>
          <w:szCs w:val="20"/>
          <w:highlight w:val="lightGray"/>
        </w:rPr>
        <w:t>]</w:t>
      </w:r>
    </w:p>
    <w:p w14:paraId="69F5BCEF" w14:textId="77777777" w:rsidR="00704C12" w:rsidRPr="009C2D3F" w:rsidRDefault="00704C12" w:rsidP="00B759E6">
      <w:pPr>
        <w:spacing w:after="0" w:line="240" w:lineRule="auto"/>
        <w:ind w:left="3776" w:right="284" w:hanging="3402"/>
        <w:rPr>
          <w:rFonts w:ascii="Lato" w:hAnsi="Lato"/>
          <w:b/>
          <w:color w:val="00B050"/>
          <w:sz w:val="20"/>
          <w:szCs w:val="20"/>
        </w:rPr>
      </w:pPr>
    </w:p>
    <w:p w14:paraId="135E01D5" w14:textId="3C9C0E25" w:rsidR="00704C12" w:rsidRPr="009C2D3F" w:rsidRDefault="00704C12" w:rsidP="00B759E6">
      <w:pPr>
        <w:spacing w:after="0" w:line="240" w:lineRule="auto"/>
        <w:ind w:left="3776" w:right="284" w:hanging="3402"/>
        <w:rPr>
          <w:rFonts w:ascii="Lato" w:hAnsi="Lato"/>
          <w:bCs/>
          <w:sz w:val="20"/>
          <w:szCs w:val="20"/>
          <w:highlight w:val="lightGray"/>
        </w:rPr>
      </w:pPr>
      <w:r w:rsidRPr="009C2D3F">
        <w:rPr>
          <w:rFonts w:ascii="Lato" w:hAnsi="Lato"/>
          <w:b/>
          <w:bCs/>
          <w:sz w:val="20"/>
          <w:szCs w:val="20"/>
        </w:rPr>
        <w:t>“Transfer Fee”</w:t>
      </w:r>
      <w:r w:rsidRPr="009C2D3F">
        <w:rPr>
          <w:rFonts w:ascii="Lato" w:hAnsi="Lato"/>
          <w:sz w:val="20"/>
          <w:szCs w:val="20"/>
        </w:rPr>
        <w:tab/>
        <w:t xml:space="preserve">means the fee set out in Schedule 2 and payable in accordance with clause </w:t>
      </w:r>
      <w:r w:rsidR="006F4B12">
        <w:rPr>
          <w:rFonts w:ascii="Lato" w:hAnsi="Lato"/>
          <w:sz w:val="20"/>
          <w:szCs w:val="20"/>
        </w:rPr>
        <w:t>8</w:t>
      </w:r>
      <w:r w:rsidRPr="009C2D3F">
        <w:rPr>
          <w:rFonts w:ascii="Lato" w:hAnsi="Lato"/>
          <w:sz w:val="20"/>
          <w:szCs w:val="20"/>
        </w:rPr>
        <w:t xml:space="preserve">; </w:t>
      </w:r>
      <w:r w:rsidRPr="009C2D3F">
        <w:rPr>
          <w:rFonts w:ascii="Lato" w:hAnsi="Lato"/>
          <w:bCs/>
          <w:sz w:val="20"/>
          <w:szCs w:val="20"/>
          <w:highlight w:val="lightGray"/>
        </w:rPr>
        <w:t>[</w:t>
      </w:r>
      <w:r w:rsidRPr="009C2D3F">
        <w:rPr>
          <w:rFonts w:ascii="Lato" w:hAnsi="Lato"/>
          <w:bCs/>
          <w:i/>
          <w:sz w:val="20"/>
          <w:szCs w:val="20"/>
          <w:highlight w:val="lightGray"/>
        </w:rPr>
        <w:t xml:space="preserve">see Notes </w:t>
      </w:r>
      <w:r w:rsidR="002D6728">
        <w:rPr>
          <w:rFonts w:ascii="Lato" w:hAnsi="Lato"/>
          <w:bCs/>
          <w:i/>
          <w:sz w:val="20"/>
          <w:szCs w:val="20"/>
          <w:highlight w:val="lightGray"/>
        </w:rPr>
        <w:t>5</w:t>
      </w:r>
      <w:r w:rsidR="00CE2237">
        <w:rPr>
          <w:rFonts w:ascii="Lato" w:hAnsi="Lato"/>
          <w:bCs/>
          <w:i/>
          <w:sz w:val="20"/>
          <w:szCs w:val="20"/>
          <w:highlight w:val="lightGray"/>
        </w:rPr>
        <w:t>9</w:t>
      </w:r>
      <w:r w:rsidR="002D6728">
        <w:rPr>
          <w:rFonts w:ascii="Lato" w:hAnsi="Lato"/>
          <w:bCs/>
          <w:i/>
          <w:sz w:val="20"/>
          <w:szCs w:val="20"/>
          <w:highlight w:val="lightGray"/>
        </w:rPr>
        <w:t xml:space="preserve"> and </w:t>
      </w:r>
      <w:r w:rsidR="00CE2237">
        <w:rPr>
          <w:rFonts w:ascii="Lato" w:hAnsi="Lato"/>
          <w:bCs/>
          <w:i/>
          <w:sz w:val="20"/>
          <w:szCs w:val="20"/>
          <w:highlight w:val="lightGray"/>
        </w:rPr>
        <w:t>60</w:t>
      </w:r>
      <w:r w:rsidRPr="009C2D3F">
        <w:rPr>
          <w:rFonts w:ascii="Lato" w:hAnsi="Lato"/>
          <w:bCs/>
          <w:sz w:val="20"/>
          <w:szCs w:val="20"/>
          <w:highlight w:val="lightGray"/>
        </w:rPr>
        <w:t>]</w:t>
      </w:r>
    </w:p>
    <w:p w14:paraId="24A0209E" w14:textId="77777777" w:rsidR="001E644E" w:rsidRPr="009C2D3F" w:rsidRDefault="001E644E" w:rsidP="00B759E6">
      <w:pPr>
        <w:spacing w:after="0" w:line="240" w:lineRule="auto"/>
        <w:ind w:left="3776" w:right="284" w:hanging="3402"/>
        <w:rPr>
          <w:rFonts w:ascii="Lato" w:hAnsi="Lato"/>
          <w:sz w:val="20"/>
          <w:szCs w:val="20"/>
        </w:rPr>
      </w:pPr>
    </w:p>
    <w:p w14:paraId="73885C0E" w14:textId="2E10249E" w:rsidR="00704C12" w:rsidRPr="009C2D3F" w:rsidRDefault="00704C12" w:rsidP="00B759E6">
      <w:pPr>
        <w:spacing w:after="0" w:line="240" w:lineRule="auto"/>
        <w:ind w:left="3776" w:right="284" w:hanging="3402"/>
        <w:rPr>
          <w:rFonts w:ascii="Lato" w:hAnsi="Lato"/>
          <w:sz w:val="20"/>
          <w:szCs w:val="20"/>
        </w:rPr>
      </w:pPr>
      <w:r w:rsidRPr="009C2D3F">
        <w:rPr>
          <w:rFonts w:ascii="Lato" w:hAnsi="Lato"/>
          <w:b/>
          <w:sz w:val="20"/>
          <w:szCs w:val="20"/>
        </w:rPr>
        <w:t>“Vulnerable Person”</w:t>
      </w:r>
      <w:r w:rsidRPr="009C2D3F">
        <w:rPr>
          <w:rFonts w:ascii="Lato" w:hAnsi="Lato"/>
          <w:b/>
          <w:sz w:val="20"/>
          <w:szCs w:val="20"/>
        </w:rPr>
        <w:tab/>
      </w:r>
      <w:r w:rsidRPr="009C2D3F">
        <w:rPr>
          <w:rFonts w:ascii="Lato" w:hAnsi="Lato"/>
          <w:sz w:val="20"/>
          <w:szCs w:val="20"/>
        </w:rPr>
        <w:t xml:space="preserve">means (for the purposes of the Conduct Regulations) any person who by reason of age, infirmity, illness, </w:t>
      </w:r>
      <w:r w:rsidRPr="009C2D3F">
        <w:rPr>
          <w:rFonts w:ascii="Lato" w:hAnsi="Lato"/>
          <w:sz w:val="20"/>
          <w:szCs w:val="20"/>
        </w:rPr>
        <w:lastRenderedPageBreak/>
        <w:t xml:space="preserve">disability or any other circumstance needs care or attention, and includes any person under the age of 18; </w:t>
      </w:r>
    </w:p>
    <w:p w14:paraId="3C59855C" w14:textId="77777777" w:rsidR="001E644E" w:rsidRPr="009C2D3F" w:rsidRDefault="001E644E" w:rsidP="00B759E6">
      <w:pPr>
        <w:spacing w:after="0" w:line="240" w:lineRule="auto"/>
        <w:ind w:left="3776" w:right="284" w:hanging="3402"/>
        <w:rPr>
          <w:rFonts w:ascii="Lato" w:hAnsi="Lato"/>
          <w:sz w:val="20"/>
          <w:szCs w:val="20"/>
        </w:rPr>
      </w:pPr>
    </w:p>
    <w:p w14:paraId="34266F8B" w14:textId="15F0124D" w:rsidR="00704C12" w:rsidRPr="009C2D3F" w:rsidRDefault="00704C12" w:rsidP="00B759E6">
      <w:pPr>
        <w:tabs>
          <w:tab w:val="left" w:pos="1122"/>
          <w:tab w:val="left" w:pos="3740"/>
          <w:tab w:val="left" w:pos="4114"/>
        </w:tabs>
        <w:spacing w:after="0" w:line="240" w:lineRule="auto"/>
        <w:ind w:left="3776" w:right="284" w:hanging="3402"/>
        <w:rPr>
          <w:rFonts w:ascii="Lato" w:hAnsi="Lato"/>
          <w:sz w:val="20"/>
          <w:szCs w:val="20"/>
        </w:rPr>
      </w:pPr>
      <w:r w:rsidRPr="009C2D3F">
        <w:rPr>
          <w:rFonts w:ascii="Lato" w:hAnsi="Lato"/>
          <w:b/>
          <w:sz w:val="20"/>
          <w:szCs w:val="20"/>
        </w:rPr>
        <w:t>“</w:t>
      </w:r>
      <w:proofErr w:type="spellStart"/>
      <w:r w:rsidRPr="009C2D3F">
        <w:rPr>
          <w:rFonts w:ascii="Lato" w:hAnsi="Lato"/>
          <w:b/>
          <w:sz w:val="20"/>
          <w:szCs w:val="20"/>
        </w:rPr>
        <w:t>WTR</w:t>
      </w:r>
      <w:proofErr w:type="spellEnd"/>
      <w:r w:rsidRPr="009C2D3F">
        <w:rPr>
          <w:rFonts w:ascii="Lato" w:hAnsi="Lato"/>
          <w:b/>
          <w:sz w:val="20"/>
          <w:szCs w:val="20"/>
        </w:rPr>
        <w:t>”</w:t>
      </w:r>
      <w:r w:rsidRPr="009C2D3F">
        <w:rPr>
          <w:rFonts w:ascii="Lato" w:hAnsi="Lato"/>
          <w:b/>
          <w:sz w:val="20"/>
          <w:szCs w:val="20"/>
        </w:rPr>
        <w:tab/>
      </w:r>
      <w:r w:rsidRPr="009C2D3F">
        <w:rPr>
          <w:rFonts w:ascii="Lato" w:hAnsi="Lato"/>
          <w:b/>
          <w:sz w:val="20"/>
          <w:szCs w:val="20"/>
        </w:rPr>
        <w:tab/>
      </w:r>
      <w:r w:rsidRPr="009C2D3F">
        <w:rPr>
          <w:rFonts w:ascii="Lato" w:hAnsi="Lato"/>
          <w:sz w:val="20"/>
          <w:szCs w:val="20"/>
        </w:rPr>
        <w:t xml:space="preserve">means the Working Time Regulations 1998 </w:t>
      </w:r>
      <w:r w:rsidRPr="009C2D3F">
        <w:rPr>
          <w:rFonts w:ascii="Lato" w:hAnsi="Lato"/>
          <w:sz w:val="20"/>
          <w:szCs w:val="20"/>
          <w:highlight w:val="lightGray"/>
        </w:rPr>
        <w:t>[and/or the Working Time Regulations (Northern Ireland) 1998]</w:t>
      </w:r>
      <w:r w:rsidRPr="009C2D3F">
        <w:rPr>
          <w:rFonts w:ascii="Lato" w:hAnsi="Lato"/>
          <w:sz w:val="20"/>
          <w:szCs w:val="20"/>
        </w:rPr>
        <w:t xml:space="preserve">. </w:t>
      </w:r>
      <w:r w:rsidRPr="009C2D3F">
        <w:rPr>
          <w:rFonts w:ascii="Lato" w:hAnsi="Lato"/>
          <w:sz w:val="20"/>
          <w:szCs w:val="20"/>
          <w:highlight w:val="lightGray"/>
        </w:rPr>
        <w:t>[</w:t>
      </w:r>
      <w:r w:rsidRPr="009C2D3F">
        <w:rPr>
          <w:rFonts w:ascii="Lato" w:hAnsi="Lato"/>
          <w:i/>
          <w:sz w:val="20"/>
          <w:szCs w:val="20"/>
          <w:highlight w:val="lightGray"/>
        </w:rPr>
        <w:t>see Note 2</w:t>
      </w:r>
      <w:r w:rsidR="00CE2237">
        <w:rPr>
          <w:rFonts w:ascii="Lato" w:hAnsi="Lato"/>
          <w:i/>
          <w:sz w:val="20"/>
          <w:szCs w:val="20"/>
          <w:highlight w:val="lightGray"/>
        </w:rPr>
        <w:t>3</w:t>
      </w:r>
      <w:r w:rsidRPr="009C2D3F">
        <w:rPr>
          <w:rFonts w:ascii="Lato" w:hAnsi="Lato"/>
          <w:sz w:val="20"/>
          <w:szCs w:val="20"/>
          <w:highlight w:val="lightGray"/>
        </w:rPr>
        <w:t>]</w:t>
      </w:r>
      <w:r w:rsidRPr="009C2D3F">
        <w:rPr>
          <w:rFonts w:ascii="Lato" w:hAnsi="Lato"/>
          <w:color w:val="00B050"/>
          <w:sz w:val="20"/>
          <w:szCs w:val="20"/>
        </w:rPr>
        <w:t>.</w:t>
      </w:r>
    </w:p>
    <w:p w14:paraId="4191F951" w14:textId="77777777" w:rsidR="00704C12" w:rsidRPr="009C2D3F" w:rsidRDefault="00704C12" w:rsidP="00FE1620">
      <w:pPr>
        <w:spacing w:after="0" w:line="240" w:lineRule="auto"/>
        <w:ind w:left="4320" w:right="284" w:hanging="3600"/>
        <w:rPr>
          <w:rFonts w:ascii="Lato" w:hAnsi="Lato"/>
          <w:sz w:val="20"/>
          <w:szCs w:val="20"/>
        </w:rPr>
      </w:pPr>
    </w:p>
    <w:p w14:paraId="1D4F137F" w14:textId="1E9D64D5" w:rsidR="004F4DE5" w:rsidRDefault="00704C12" w:rsidP="00D42E8C">
      <w:pPr>
        <w:pStyle w:val="ListParagraph"/>
        <w:numPr>
          <w:ilvl w:val="1"/>
          <w:numId w:val="16"/>
        </w:numPr>
        <w:ind w:left="924" w:right="284" w:hanging="567"/>
      </w:pPr>
      <w:r w:rsidRPr="004F4DE5">
        <w:t>Unless the context otherwise requires, references to the singular include the plural and references to the masculine include the feminine and vice versa.</w:t>
      </w:r>
    </w:p>
    <w:p w14:paraId="173213D3" w14:textId="77777777" w:rsidR="004F4DE5" w:rsidRDefault="004F4DE5" w:rsidP="00D42E8C">
      <w:pPr>
        <w:pStyle w:val="ListParagraph"/>
        <w:numPr>
          <w:ilvl w:val="0"/>
          <w:numId w:val="0"/>
        </w:numPr>
        <w:ind w:left="924" w:right="284" w:hanging="567"/>
      </w:pPr>
    </w:p>
    <w:p w14:paraId="49A01DA0" w14:textId="772F5453" w:rsidR="004F4DE5" w:rsidRDefault="00704C12" w:rsidP="00D42E8C">
      <w:pPr>
        <w:pStyle w:val="ListParagraph"/>
        <w:numPr>
          <w:ilvl w:val="1"/>
          <w:numId w:val="16"/>
        </w:numPr>
        <w:ind w:left="924" w:right="284" w:hanging="567"/>
      </w:pPr>
      <w:r w:rsidRPr="004F4DE5">
        <w:t>The headings contained in this Agreement are for convenience only and do not affect their interpretation.</w:t>
      </w:r>
    </w:p>
    <w:p w14:paraId="6DC2E9B6" w14:textId="77777777" w:rsidR="004F4DE5" w:rsidRDefault="004F4DE5" w:rsidP="00D42E8C">
      <w:pPr>
        <w:pStyle w:val="ListParagraph"/>
        <w:numPr>
          <w:ilvl w:val="0"/>
          <w:numId w:val="0"/>
        </w:numPr>
        <w:ind w:left="924" w:right="284" w:hanging="567"/>
      </w:pPr>
    </w:p>
    <w:p w14:paraId="7C2CB91D" w14:textId="2A5D9BDD" w:rsidR="00704C12" w:rsidRPr="00B0331F" w:rsidRDefault="00704C12" w:rsidP="00D42E8C">
      <w:pPr>
        <w:pStyle w:val="ListParagraph"/>
        <w:numPr>
          <w:ilvl w:val="1"/>
          <w:numId w:val="16"/>
        </w:numPr>
        <w:ind w:left="924" w:right="284" w:hanging="567"/>
      </w:pPr>
      <w:r w:rsidRPr="004F4DE5">
        <w:t xml:space="preserve">Any reference, express or implied, to an enactment includes a reference to that enactment as from time to time amended, modified, extended, re-enacted, replaced or applied by or under any other enactment (whether before or after the date of this Agreement) and all subordinate legislation made (before or after this Agreement) under it from time to time. </w:t>
      </w:r>
    </w:p>
    <w:p w14:paraId="5AC68CB0" w14:textId="080487FB" w:rsidR="00704C12" w:rsidRPr="0078402D" w:rsidRDefault="00704C12" w:rsidP="00FE28C9">
      <w:pPr>
        <w:pStyle w:val="Heading3"/>
        <w:numPr>
          <w:ilvl w:val="0"/>
          <w:numId w:val="16"/>
        </w:numPr>
      </w:pPr>
      <w:r w:rsidRPr="0078402D">
        <w:t>THE AGREEMENT</w:t>
      </w:r>
    </w:p>
    <w:p w14:paraId="30E15FEE" w14:textId="512A0CB2" w:rsidR="00013516" w:rsidRDefault="00013516" w:rsidP="00013516">
      <w:pPr>
        <w:pStyle w:val="BodyText"/>
      </w:pPr>
    </w:p>
    <w:p w14:paraId="1B8A74AC" w14:textId="4C356596" w:rsidR="00704C12" w:rsidRPr="004F4DE5" w:rsidRDefault="00704C12" w:rsidP="00D42E8C">
      <w:pPr>
        <w:pStyle w:val="BodyText"/>
        <w:numPr>
          <w:ilvl w:val="1"/>
          <w:numId w:val="16"/>
        </w:numPr>
        <w:ind w:left="924" w:right="284" w:hanging="567"/>
      </w:pPr>
      <w:bookmarkStart w:id="9" w:name="_Hlk50729476"/>
      <w:bookmarkStart w:id="10" w:name="_Ref480444949"/>
      <w:r w:rsidRPr="004F4DE5">
        <w:t>This Agreement together with the Schedule(s) and any applicable Assignment Details Form</w:t>
      </w:r>
      <w:r w:rsidR="00825F13">
        <w:t xml:space="preserve"> is the</w:t>
      </w:r>
      <w:r w:rsidRPr="004F4DE5">
        <w:t xml:space="preserve"> entire agreement between the Employment Business and the Client for the supply of Temporary Resources by the Employment Business to the Client (</w:t>
      </w:r>
      <w:r w:rsidRPr="00D80EE3">
        <w:rPr>
          <w:b/>
        </w:rPr>
        <w:t>“the Agreement”</w:t>
      </w:r>
      <w:r w:rsidRPr="004F4DE5">
        <w:t xml:space="preserve">).  This Agreement is deemed to be accepted by the Client by its request for, interview </w:t>
      </w:r>
      <w:r w:rsidR="00E3492A">
        <w:t xml:space="preserve">or meeting </w:t>
      </w:r>
      <w:r w:rsidRPr="004F4DE5">
        <w:t xml:space="preserve">with, or Engagement of a Temporary Resource or the passing of any information about a Temporary Resource to any third party </w:t>
      </w:r>
      <w:r w:rsidR="00825F13">
        <w:t>after</w:t>
      </w:r>
      <w:r w:rsidRPr="004F4DE5">
        <w:t xml:space="preserve"> an Introduction</w:t>
      </w:r>
      <w:bookmarkEnd w:id="9"/>
      <w:r w:rsidRPr="004F4DE5">
        <w:t xml:space="preserve">. </w:t>
      </w:r>
      <w:r w:rsidRPr="00D80EE3">
        <w:rPr>
          <w:highlight w:val="lightGray"/>
        </w:rPr>
        <w:t>[</w:t>
      </w:r>
      <w:r w:rsidRPr="00D80EE3">
        <w:rPr>
          <w:i/>
          <w:highlight w:val="lightGray"/>
        </w:rPr>
        <w:t>see Note 2</w:t>
      </w:r>
      <w:r w:rsidR="006162E8">
        <w:rPr>
          <w:i/>
          <w:highlight w:val="lightGray"/>
        </w:rPr>
        <w:t>4</w:t>
      </w:r>
      <w:r w:rsidRPr="00D80EE3">
        <w:rPr>
          <w:highlight w:val="lightGray"/>
        </w:rPr>
        <w:t>]</w:t>
      </w:r>
      <w:bookmarkEnd w:id="10"/>
    </w:p>
    <w:p w14:paraId="29AAAF58" w14:textId="77777777" w:rsidR="00704C12" w:rsidRPr="004F4DE5" w:rsidRDefault="00704C12" w:rsidP="00D42E8C">
      <w:pPr>
        <w:pStyle w:val="BodyText"/>
        <w:ind w:left="924" w:right="284" w:hanging="567"/>
      </w:pPr>
    </w:p>
    <w:p w14:paraId="14159A0A" w14:textId="25350F71" w:rsidR="00704C12" w:rsidRPr="004F4DE5" w:rsidRDefault="00704C12" w:rsidP="00D42E8C">
      <w:pPr>
        <w:pStyle w:val="BodyText"/>
        <w:numPr>
          <w:ilvl w:val="1"/>
          <w:numId w:val="16"/>
        </w:numPr>
        <w:ind w:left="924" w:right="284" w:hanging="567"/>
      </w:pPr>
      <w:r w:rsidRPr="004F4DE5">
        <w:t xml:space="preserve">Unless otherwise agreed in writing by </w:t>
      </w:r>
      <w:r w:rsidRPr="004F4DE5">
        <w:rPr>
          <w:highlight w:val="lightGray"/>
        </w:rPr>
        <w:t>[</w:t>
      </w:r>
      <w:r w:rsidRPr="004F4DE5">
        <w:rPr>
          <w:i/>
          <w:highlight w:val="lightGray"/>
        </w:rPr>
        <w:t>a director/partner/proprietor</w:t>
      </w:r>
      <w:r w:rsidRPr="004F4DE5">
        <w:rPr>
          <w:highlight w:val="lightGray"/>
        </w:rPr>
        <w:t>]</w:t>
      </w:r>
      <w:r w:rsidRPr="004F4DE5">
        <w:t xml:space="preserve"> of the Employment Business, this Agreement shall prevail over any terms of business or purchase conditions (or similar) put forward by the Client. </w:t>
      </w:r>
      <w:r w:rsidRPr="004F4DE5">
        <w:rPr>
          <w:highlight w:val="lightGray"/>
        </w:rPr>
        <w:t>[</w:t>
      </w:r>
      <w:r w:rsidRPr="004F4DE5">
        <w:rPr>
          <w:i/>
          <w:highlight w:val="lightGray"/>
        </w:rPr>
        <w:t>see Note 2</w:t>
      </w:r>
      <w:r w:rsidR="006162E8">
        <w:rPr>
          <w:i/>
          <w:highlight w:val="lightGray"/>
        </w:rPr>
        <w:t>5</w:t>
      </w:r>
      <w:r w:rsidRPr="004F4DE5">
        <w:rPr>
          <w:highlight w:val="lightGray"/>
        </w:rPr>
        <w:t>]</w:t>
      </w:r>
    </w:p>
    <w:p w14:paraId="1BC327A9" w14:textId="77777777" w:rsidR="00704C12" w:rsidRPr="004F4DE5" w:rsidRDefault="00704C12" w:rsidP="00D42E8C">
      <w:pPr>
        <w:pStyle w:val="BodyText"/>
        <w:ind w:left="924" w:right="284" w:hanging="567"/>
      </w:pPr>
    </w:p>
    <w:p w14:paraId="28D53073" w14:textId="7B1C051E" w:rsidR="00704C12" w:rsidRPr="004F4DE5" w:rsidRDefault="00704C12" w:rsidP="00161019">
      <w:pPr>
        <w:pStyle w:val="BodyText"/>
        <w:numPr>
          <w:ilvl w:val="1"/>
          <w:numId w:val="16"/>
        </w:numPr>
        <w:ind w:left="924" w:right="284" w:hanging="567"/>
      </w:pPr>
      <w:r w:rsidRPr="004F4DE5">
        <w:t>Subject to clause</w:t>
      </w:r>
      <w:r w:rsidR="001E644E" w:rsidRPr="004F4DE5">
        <w:t>s</w:t>
      </w:r>
      <w:r w:rsidRPr="004F4DE5">
        <w:t xml:space="preserve"> 6.</w:t>
      </w:r>
      <w:r w:rsidR="001E644E" w:rsidRPr="004F4DE5">
        <w:t>2 and 6.4</w:t>
      </w:r>
      <w:r w:rsidRPr="004F4DE5">
        <w:t xml:space="preserve"> no variation or alteration to this Agreement shall be valid unless the details of such variation are agreed between </w:t>
      </w:r>
      <w:r w:rsidRPr="004F4DE5">
        <w:rPr>
          <w:highlight w:val="lightGray"/>
        </w:rPr>
        <w:t>[</w:t>
      </w:r>
      <w:r w:rsidRPr="004F4DE5">
        <w:rPr>
          <w:i/>
          <w:highlight w:val="lightGray"/>
        </w:rPr>
        <w:t>a director/partner/proprietor of</w:t>
      </w:r>
      <w:r w:rsidR="00B331EF">
        <w:rPr>
          <w:highlight w:val="lightGray"/>
        </w:rPr>
        <w:t>]</w:t>
      </w:r>
      <w:r w:rsidRPr="004F4DE5">
        <w:rPr>
          <w:i/>
          <w:highlight w:val="lightGray"/>
        </w:rPr>
        <w:t xml:space="preserve"> </w:t>
      </w:r>
      <w:r w:rsidRPr="004F4DE5">
        <w:t xml:space="preserve">the Employment Business and the Client and are set out in writing and a copy of the varied terms is given to the Client stating the date on or after which </w:t>
      </w:r>
      <w:r w:rsidR="004163F9">
        <w:t>the</w:t>
      </w:r>
      <w:r w:rsidRPr="004F4DE5">
        <w:t xml:space="preserve"> varied terms shall apply. </w:t>
      </w:r>
      <w:r w:rsidRPr="004F4DE5">
        <w:rPr>
          <w:highlight w:val="lightGray"/>
        </w:rPr>
        <w:t>[</w:t>
      </w:r>
      <w:r w:rsidRPr="004F4DE5">
        <w:rPr>
          <w:i/>
          <w:highlight w:val="lightGray"/>
        </w:rPr>
        <w:t>see Notes 2</w:t>
      </w:r>
      <w:r w:rsidR="009B4CF7">
        <w:rPr>
          <w:i/>
          <w:highlight w:val="lightGray"/>
        </w:rPr>
        <w:t>5</w:t>
      </w:r>
      <w:r w:rsidRPr="004F4DE5">
        <w:rPr>
          <w:i/>
          <w:highlight w:val="lightGray"/>
        </w:rPr>
        <w:t xml:space="preserve"> and 2</w:t>
      </w:r>
      <w:r w:rsidR="009B4CF7">
        <w:rPr>
          <w:i/>
          <w:highlight w:val="lightGray"/>
        </w:rPr>
        <w:t>6</w:t>
      </w:r>
      <w:r w:rsidRPr="004F4DE5">
        <w:rPr>
          <w:highlight w:val="lightGray"/>
        </w:rPr>
        <w:t>]</w:t>
      </w:r>
    </w:p>
    <w:p w14:paraId="15B06C25" w14:textId="77777777" w:rsidR="00704C12" w:rsidRPr="004F4DE5" w:rsidRDefault="00704C12" w:rsidP="00D42E8C">
      <w:pPr>
        <w:pStyle w:val="BodyText"/>
        <w:ind w:left="924" w:right="284" w:hanging="567"/>
        <w:rPr>
          <w:b/>
        </w:rPr>
      </w:pPr>
    </w:p>
    <w:p w14:paraId="2C317C0B" w14:textId="69FE84BD" w:rsidR="00704C12" w:rsidRPr="004F4DE5" w:rsidRDefault="00704C12" w:rsidP="00D42E8C">
      <w:pPr>
        <w:pStyle w:val="BodyText"/>
        <w:numPr>
          <w:ilvl w:val="1"/>
          <w:numId w:val="16"/>
        </w:numPr>
        <w:ind w:left="924" w:right="284" w:hanging="567"/>
      </w:pPr>
      <w:r w:rsidRPr="004F4DE5">
        <w:t xml:space="preserve">The Client acknowledges that where a Temporary Resource or </w:t>
      </w:r>
      <w:r w:rsidR="00E739D1">
        <w:t xml:space="preserve">substitute or </w:t>
      </w:r>
      <w:r w:rsidRPr="004F4DE5">
        <w:t>any person to whom the performance of the Assignment Services has been assigned or sub-contracted:</w:t>
      </w:r>
    </w:p>
    <w:p w14:paraId="0170791B" w14:textId="77777777" w:rsidR="00704C12" w:rsidRPr="004F4DE5" w:rsidRDefault="00704C12" w:rsidP="00013516">
      <w:pPr>
        <w:pStyle w:val="BodyText"/>
      </w:pPr>
    </w:p>
    <w:p w14:paraId="52E2C2BF" w14:textId="0E9ED28C" w:rsidR="00704C12" w:rsidRPr="004F4DE5" w:rsidRDefault="00704C12" w:rsidP="00D42E8C">
      <w:pPr>
        <w:pStyle w:val="BodyText"/>
        <w:numPr>
          <w:ilvl w:val="2"/>
          <w:numId w:val="16"/>
        </w:numPr>
        <w:ind w:left="1956" w:right="284" w:hanging="992"/>
      </w:pPr>
      <w:r w:rsidRPr="004F4DE5">
        <w:t xml:space="preserve">opt out of the Conduct Regulations, none of the Conduct Regulations </w:t>
      </w:r>
      <w:r w:rsidR="006F2347">
        <w:t xml:space="preserve">(except Regulation 13A) </w:t>
      </w:r>
      <w:r w:rsidRPr="004F4DE5">
        <w:t>will apply to th</w:t>
      </w:r>
      <w:r w:rsidR="00593E64">
        <w:t>at Assignment</w:t>
      </w:r>
      <w:r w:rsidRPr="004F4DE5">
        <w:t xml:space="preserve">; or </w:t>
      </w:r>
    </w:p>
    <w:p w14:paraId="6055ED3B" w14:textId="77777777" w:rsidR="00704C12" w:rsidRPr="004F4DE5" w:rsidRDefault="00704C12" w:rsidP="00D42E8C">
      <w:pPr>
        <w:pStyle w:val="BodyText"/>
        <w:ind w:left="1956" w:right="284" w:hanging="992"/>
      </w:pPr>
    </w:p>
    <w:p w14:paraId="5B7ADF8D" w14:textId="18593B71" w:rsidR="00704C12" w:rsidRPr="004F4DE5" w:rsidRDefault="00704C12" w:rsidP="00D42E8C">
      <w:pPr>
        <w:pStyle w:val="BodyText"/>
        <w:numPr>
          <w:ilvl w:val="2"/>
          <w:numId w:val="16"/>
        </w:numPr>
        <w:ind w:left="1956" w:right="284" w:hanging="992"/>
      </w:pPr>
      <w:r w:rsidRPr="004F4DE5">
        <w:t>do not opt out of the Conduct Regulations, all of the Conduct Regulations will apply to th</w:t>
      </w:r>
      <w:r w:rsidR="00593E64">
        <w:t>at Assignment</w:t>
      </w:r>
      <w:r w:rsidRPr="004F4DE5">
        <w:t xml:space="preserve">. </w:t>
      </w:r>
      <w:r w:rsidRPr="004F4DE5">
        <w:rPr>
          <w:highlight w:val="lightGray"/>
        </w:rPr>
        <w:t>[</w:t>
      </w:r>
      <w:r w:rsidRPr="004F4DE5">
        <w:rPr>
          <w:i/>
          <w:highlight w:val="lightGray"/>
        </w:rPr>
        <w:t>see Note 9</w:t>
      </w:r>
      <w:r w:rsidRPr="004F4DE5">
        <w:rPr>
          <w:highlight w:val="lightGray"/>
        </w:rPr>
        <w:t>]</w:t>
      </w:r>
      <w:r w:rsidRPr="004F4DE5">
        <w:t xml:space="preserve"> </w:t>
      </w:r>
    </w:p>
    <w:p w14:paraId="13DF0C60" w14:textId="77777777" w:rsidR="00704C12" w:rsidRPr="00CD127A" w:rsidRDefault="00704C12" w:rsidP="00013516">
      <w:pPr>
        <w:pStyle w:val="BodyText"/>
        <w:rPr>
          <w:b/>
        </w:rPr>
      </w:pPr>
    </w:p>
    <w:p w14:paraId="6EEA84C8" w14:textId="30DE443F" w:rsidR="00704C12" w:rsidRPr="00E952A7" w:rsidRDefault="00704C12" w:rsidP="00AF0583">
      <w:pPr>
        <w:pStyle w:val="BodyText"/>
        <w:numPr>
          <w:ilvl w:val="1"/>
          <w:numId w:val="16"/>
        </w:numPr>
        <w:ind w:left="924" w:right="284" w:hanging="567"/>
      </w:pPr>
      <w:r w:rsidRPr="00E952A7">
        <w:t xml:space="preserve">The Employment Business shall act as an employment business (as defined in Section 13(3) of the Employment Agencies Act 1973 </w:t>
      </w:r>
      <w:r w:rsidRPr="00E952A7">
        <w:rPr>
          <w:highlight w:val="lightGray"/>
        </w:rPr>
        <w:t>[or in the Employment (Miscellaneous Provisions) (Northern Ireland) Order 1981]</w:t>
      </w:r>
      <w:r w:rsidRPr="00E952A7">
        <w:t xml:space="preserve"> when Introducing Temporary Resources for Assignments with the Client. </w:t>
      </w:r>
      <w:r w:rsidRPr="00E952A7">
        <w:rPr>
          <w:highlight w:val="lightGray"/>
        </w:rPr>
        <w:t>[</w:t>
      </w:r>
      <w:r w:rsidRPr="00E952A7">
        <w:rPr>
          <w:i/>
          <w:highlight w:val="lightGray"/>
        </w:rPr>
        <w:t>s</w:t>
      </w:r>
      <w:r w:rsidRPr="00E952A7">
        <w:rPr>
          <w:highlight w:val="lightGray"/>
        </w:rPr>
        <w:t>ee</w:t>
      </w:r>
      <w:r w:rsidRPr="00E952A7">
        <w:rPr>
          <w:i/>
          <w:highlight w:val="lightGray"/>
        </w:rPr>
        <w:t xml:space="preserve"> Note 2</w:t>
      </w:r>
      <w:r w:rsidR="006162E8">
        <w:rPr>
          <w:i/>
          <w:highlight w:val="lightGray"/>
        </w:rPr>
        <w:t>7</w:t>
      </w:r>
      <w:r w:rsidRPr="00E952A7">
        <w:rPr>
          <w:highlight w:val="lightGray"/>
        </w:rPr>
        <w:t>]</w:t>
      </w:r>
    </w:p>
    <w:p w14:paraId="35F4D88E" w14:textId="77777777" w:rsidR="00704C12" w:rsidRPr="00CD127A" w:rsidRDefault="00704C12" w:rsidP="00AF0583">
      <w:pPr>
        <w:pStyle w:val="BodyText"/>
        <w:ind w:left="924" w:right="284" w:hanging="567"/>
      </w:pPr>
    </w:p>
    <w:p w14:paraId="0D2488A5" w14:textId="28DC40B2" w:rsidR="00704C12" w:rsidRPr="00CD127A" w:rsidRDefault="00E3492A" w:rsidP="00AF0583">
      <w:pPr>
        <w:pStyle w:val="BodyText"/>
        <w:numPr>
          <w:ilvl w:val="1"/>
          <w:numId w:val="16"/>
        </w:numPr>
        <w:ind w:left="924" w:right="284" w:hanging="567"/>
      </w:pPr>
      <w:r>
        <w:rPr>
          <w:b/>
        </w:rPr>
        <w:lastRenderedPageBreak/>
        <w:t xml:space="preserve">THE OFF-PAYROLL RULES: </w:t>
      </w:r>
      <w:r w:rsidR="00704C12" w:rsidRPr="00CD127A">
        <w:t xml:space="preserve">The Client acknowledges that </w:t>
      </w:r>
      <w:bookmarkStart w:id="11" w:name="_Hlk30672673"/>
      <w:r w:rsidR="00704C12" w:rsidRPr="00CD127A">
        <w:t xml:space="preserve">where a Temporary Resource works through a </w:t>
      </w:r>
      <w:bookmarkEnd w:id="11"/>
      <w:r w:rsidR="00704C12">
        <w:t>PSC</w:t>
      </w:r>
      <w:r w:rsidR="00704C12" w:rsidRPr="00CD127A">
        <w:t xml:space="preserve">:  </w:t>
      </w:r>
    </w:p>
    <w:p w14:paraId="4D9AD93D" w14:textId="648990ED" w:rsidR="00704C12" w:rsidRPr="00CD127A" w:rsidRDefault="00704C12" w:rsidP="00013516">
      <w:pPr>
        <w:pStyle w:val="BodyText"/>
        <w:rPr>
          <w:sz w:val="22"/>
          <w:szCs w:val="22"/>
        </w:rPr>
      </w:pPr>
    </w:p>
    <w:p w14:paraId="488CD4F2" w14:textId="55D001BF" w:rsidR="00704C12" w:rsidRPr="00CD127A" w:rsidRDefault="00704C12" w:rsidP="00AF0583">
      <w:pPr>
        <w:pStyle w:val="BodyText"/>
        <w:numPr>
          <w:ilvl w:val="2"/>
          <w:numId w:val="16"/>
        </w:numPr>
        <w:ind w:left="1956" w:right="284" w:hanging="992"/>
      </w:pPr>
      <w:r w:rsidRPr="00CD127A">
        <w:t xml:space="preserve">the </w:t>
      </w:r>
      <w:r>
        <w:t>PSC</w:t>
      </w:r>
      <w:r w:rsidRPr="00CD127A">
        <w:t xml:space="preserve"> may supply any of the Intermediary Staff to perform the Assignment Services; </w:t>
      </w:r>
    </w:p>
    <w:p w14:paraId="5DD2354F" w14:textId="27DFF0D4" w:rsidR="00704C12" w:rsidRPr="00CD127A" w:rsidRDefault="00704C12" w:rsidP="00AF0583">
      <w:pPr>
        <w:pStyle w:val="BodyText"/>
        <w:ind w:left="1956" w:right="284" w:hanging="992"/>
      </w:pPr>
    </w:p>
    <w:p w14:paraId="6453F907" w14:textId="324A20F7" w:rsidR="00704C12" w:rsidRPr="00CD127A" w:rsidRDefault="00704C12" w:rsidP="00AF0583">
      <w:pPr>
        <w:pStyle w:val="BodyText"/>
        <w:numPr>
          <w:ilvl w:val="2"/>
          <w:numId w:val="16"/>
        </w:numPr>
        <w:ind w:left="1956" w:right="284" w:hanging="992"/>
      </w:pPr>
      <w:r w:rsidRPr="00CD127A">
        <w:t xml:space="preserve">and where a </w:t>
      </w:r>
      <w:r>
        <w:t>PSC</w:t>
      </w:r>
      <w:r w:rsidRPr="00CD127A">
        <w:t xml:space="preserve"> is unable to provide any part of the Assignment Services for whatever reason, the </w:t>
      </w:r>
      <w:r>
        <w:t>PSC</w:t>
      </w:r>
      <w:r w:rsidRPr="00CD127A">
        <w:t xml:space="preserve"> </w:t>
      </w:r>
      <w:r w:rsidR="00593E64">
        <w:t>can</w:t>
      </w:r>
      <w:r w:rsidRPr="00CD127A">
        <w:t xml:space="preserve"> </w:t>
      </w:r>
      <w:r w:rsidR="00E739D1">
        <w:t xml:space="preserve">send a substitute or </w:t>
      </w:r>
      <w:r w:rsidRPr="00CD127A">
        <w:t xml:space="preserve">assign or sub-contract the performance of the Assignment Services </w:t>
      </w:r>
    </w:p>
    <w:p w14:paraId="04857FE0" w14:textId="20A68ABE" w:rsidR="00704C12" w:rsidRPr="00CD127A" w:rsidRDefault="00704C12" w:rsidP="00013516">
      <w:pPr>
        <w:pStyle w:val="BodyText"/>
        <w:rPr>
          <w:sz w:val="22"/>
          <w:szCs w:val="22"/>
        </w:rPr>
      </w:pPr>
    </w:p>
    <w:p w14:paraId="4C1F2743" w14:textId="03B46CF5" w:rsidR="00704C12" w:rsidRPr="00C141A1" w:rsidRDefault="00704C12" w:rsidP="00C141A1">
      <w:pPr>
        <w:pStyle w:val="BodyText"/>
        <w:ind w:left="964"/>
        <w:rPr>
          <w:highlight w:val="lightGray"/>
        </w:rPr>
      </w:pPr>
      <w:r w:rsidRPr="00CD127A">
        <w:t xml:space="preserve">provided that the Employment Business and the Client are reasonably satisfied that the </w:t>
      </w:r>
      <w:r w:rsidR="00E739D1">
        <w:t xml:space="preserve">substitute, </w:t>
      </w:r>
      <w:r w:rsidRPr="00CD127A">
        <w:t>assignee or sub-contractor has the required skills, qualifications, resources and personnel to provide the Assignment Services to the required standard and that the terms of any such assignment or sub-contract</w:t>
      </w:r>
      <w:r w:rsidR="00F0637A">
        <w:t xml:space="preserve"> will</w:t>
      </w:r>
      <w:r w:rsidRPr="00CD127A">
        <w:t xml:space="preserve"> contain the same acknowledgements under and obligations imposed by the agreement between the relevant Temporary Resource and the Employment Business. </w:t>
      </w:r>
      <w:r w:rsidR="00CE51DD">
        <w:t>In these circumstances, t</w:t>
      </w:r>
      <w:r w:rsidRPr="00CD127A">
        <w:t>he Client shall not unreasonably withhold or delay any approval sought for the assignment or sub-contracting of the Assignment Services.</w:t>
      </w:r>
      <w:r w:rsidRPr="00B331EF">
        <w:t xml:space="preserve"> </w:t>
      </w:r>
      <w:r w:rsidRPr="00CD127A">
        <w:rPr>
          <w:highlight w:val="lightGray"/>
        </w:rPr>
        <w:t>[</w:t>
      </w:r>
      <w:r w:rsidRPr="00CD127A">
        <w:rPr>
          <w:i/>
          <w:highlight w:val="lightGray"/>
        </w:rPr>
        <w:t>s</w:t>
      </w:r>
      <w:r w:rsidRPr="00CD127A">
        <w:rPr>
          <w:highlight w:val="lightGray"/>
        </w:rPr>
        <w:t>ee</w:t>
      </w:r>
      <w:r w:rsidRPr="00CD127A">
        <w:rPr>
          <w:i/>
          <w:highlight w:val="lightGray"/>
        </w:rPr>
        <w:t xml:space="preserve"> Note 2</w:t>
      </w:r>
      <w:r w:rsidR="006162E8">
        <w:rPr>
          <w:i/>
          <w:highlight w:val="lightGray"/>
        </w:rPr>
        <w:t>8</w:t>
      </w:r>
      <w:r w:rsidRPr="00CD127A">
        <w:rPr>
          <w:highlight w:val="lightGray"/>
        </w:rPr>
        <w:t>]</w:t>
      </w:r>
      <w:bookmarkStart w:id="12" w:name="_Ref478553759"/>
    </w:p>
    <w:p w14:paraId="3512CE2B" w14:textId="5ECAC2F4" w:rsidR="00704C12" w:rsidRPr="002C6F63" w:rsidRDefault="00E3492A" w:rsidP="00D30963">
      <w:pPr>
        <w:pStyle w:val="Heading3"/>
        <w:numPr>
          <w:ilvl w:val="0"/>
          <w:numId w:val="0"/>
        </w:numPr>
        <w:ind w:left="720" w:hanging="720"/>
        <w:rPr>
          <w:shd w:val="clear" w:color="auto" w:fill="3555CA" w:themeFill="background1" w:themeFillShade="D9"/>
        </w:rPr>
      </w:pPr>
      <w:bookmarkStart w:id="13" w:name="_Ref512520983"/>
      <w:bookmarkStart w:id="14" w:name="_Ref487712159"/>
      <w:bookmarkEnd w:id="12"/>
      <w:r w:rsidRPr="00EE13F9">
        <w:rPr>
          <w:bCs/>
        </w:rPr>
        <w:t>EXCLUSIVITY PERIOD</w:t>
      </w:r>
      <w:r w:rsidR="00704C12" w:rsidRPr="002C6F63">
        <w:rPr>
          <w:b/>
        </w:rPr>
        <w:t xml:space="preserve"> </w:t>
      </w:r>
      <w:r w:rsidR="00704C12" w:rsidRPr="002C6F63">
        <w:rPr>
          <w:highlight w:val="lightGray"/>
          <w:shd w:val="clear" w:color="auto" w:fill="3555CA" w:themeFill="background1" w:themeFillShade="D9"/>
        </w:rPr>
        <w:t>(OPTIONAL CLAUSE) [</w:t>
      </w:r>
      <w:r w:rsidR="00720D68" w:rsidRPr="002C6F63">
        <w:rPr>
          <w:highlight w:val="lightGray"/>
          <w:shd w:val="clear" w:color="auto" w:fill="3555CA" w:themeFill="background1" w:themeFillShade="D9"/>
        </w:rPr>
        <w:t>s</w:t>
      </w:r>
      <w:r w:rsidR="00704C12" w:rsidRPr="002C6F63">
        <w:rPr>
          <w:i/>
          <w:highlight w:val="lightGray"/>
          <w:shd w:val="clear" w:color="auto" w:fill="3555CA" w:themeFill="background1" w:themeFillShade="D9"/>
        </w:rPr>
        <w:t xml:space="preserve">ee Note </w:t>
      </w:r>
      <w:r w:rsidR="002D6728">
        <w:rPr>
          <w:i/>
          <w:highlight w:val="lightGray"/>
          <w:shd w:val="clear" w:color="auto" w:fill="3555CA" w:themeFill="background1" w:themeFillShade="D9"/>
        </w:rPr>
        <w:t>2</w:t>
      </w:r>
      <w:r w:rsidR="006162E8">
        <w:rPr>
          <w:i/>
          <w:highlight w:val="lightGray"/>
          <w:shd w:val="clear" w:color="auto" w:fill="3555CA" w:themeFill="background1" w:themeFillShade="D9"/>
        </w:rPr>
        <w:t>9</w:t>
      </w:r>
      <w:r w:rsidR="00704C12" w:rsidRPr="002C6F63">
        <w:rPr>
          <w:highlight w:val="lightGray"/>
          <w:shd w:val="clear" w:color="auto" w:fill="3555CA" w:themeFill="background1" w:themeFillShade="D9"/>
        </w:rPr>
        <w:t>]</w:t>
      </w:r>
      <w:bookmarkEnd w:id="13"/>
    </w:p>
    <w:p w14:paraId="3FA59D23" w14:textId="77777777" w:rsidR="001E644E" w:rsidRPr="002C6F63" w:rsidRDefault="001E644E" w:rsidP="00013516">
      <w:pPr>
        <w:pStyle w:val="BodyText"/>
      </w:pPr>
    </w:p>
    <w:p w14:paraId="0DE5E000" w14:textId="60DF6A93" w:rsidR="00704C12" w:rsidRPr="002C6F63" w:rsidRDefault="00704C12" w:rsidP="00AF0583">
      <w:pPr>
        <w:pStyle w:val="BodyText"/>
        <w:numPr>
          <w:ilvl w:val="1"/>
          <w:numId w:val="16"/>
        </w:numPr>
        <w:ind w:left="924" w:right="284" w:hanging="567"/>
      </w:pPr>
      <w:r w:rsidRPr="002C6F63">
        <w:t xml:space="preserve">The Client agrees that it will exclusively use the services of the Employment Business for the supply of Temporary Resources for the duration of the </w:t>
      </w:r>
      <w:r w:rsidR="00E3492A">
        <w:t>Exclusivity Period</w:t>
      </w:r>
      <w:r w:rsidRPr="002C6F63">
        <w:t xml:space="preserve">. </w:t>
      </w:r>
      <w:r w:rsidR="00F0637A">
        <w:t>T</w:t>
      </w:r>
      <w:r w:rsidRPr="002C6F63">
        <w:t xml:space="preserve">he </w:t>
      </w:r>
      <w:r w:rsidR="00986248">
        <w:t>Client</w:t>
      </w:r>
      <w:r w:rsidRPr="002C6F63">
        <w:t xml:space="preserve"> agrees that during the </w:t>
      </w:r>
      <w:r w:rsidR="00E3492A">
        <w:t>Exclusivity Period</w:t>
      </w:r>
      <w:r w:rsidRPr="002C6F63">
        <w:t xml:space="preserve"> it will not directly or indirectly source </w:t>
      </w:r>
      <w:r w:rsidR="007706CC" w:rsidRPr="002C6F63">
        <w:t>T</w:t>
      </w:r>
      <w:r w:rsidR="00BA1EF6" w:rsidRPr="002C6F63">
        <w:t xml:space="preserve">emporary </w:t>
      </w:r>
      <w:r w:rsidR="007706CC" w:rsidRPr="002C6F63">
        <w:t>Resources</w:t>
      </w:r>
      <w:r w:rsidRPr="002C6F63">
        <w:t xml:space="preserve"> other than </w:t>
      </w:r>
      <w:r w:rsidR="00593E64">
        <w:t>through</w:t>
      </w:r>
      <w:r w:rsidR="00593E64" w:rsidRPr="002C6F63">
        <w:t xml:space="preserve"> </w:t>
      </w:r>
      <w:r w:rsidRPr="002C6F63">
        <w:t xml:space="preserve">the Employment Business except in circumstances where the Employment Businesses is unable to supply Temporary Resources and has given its prior written consent to the Client to source temporary workers from a third party </w:t>
      </w:r>
      <w:r w:rsidR="007706CC" w:rsidRPr="002C6F63">
        <w:rPr>
          <w:highlight w:val="lightGray"/>
          <w:shd w:val="clear" w:color="auto" w:fill="2E4BB2" w:themeFill="background1" w:themeFillShade="BF"/>
        </w:rPr>
        <w:t>[o</w:t>
      </w:r>
      <w:r w:rsidRPr="002C6F63">
        <w:rPr>
          <w:highlight w:val="lightGray"/>
          <w:shd w:val="clear" w:color="auto" w:fill="2E4BB2" w:themeFill="background1" w:themeFillShade="BF"/>
        </w:rPr>
        <w:t>r</w:t>
      </w:r>
      <w:r w:rsidRPr="002C6F63">
        <w:rPr>
          <w:highlight w:val="lightGray"/>
        </w:rPr>
        <w:t xml:space="preserve"> in the circumstances set out in clause 2.</w:t>
      </w:r>
      <w:r w:rsidR="00B06705">
        <w:rPr>
          <w:highlight w:val="lightGray"/>
        </w:rPr>
        <w:t>7</w:t>
      </w:r>
      <w:r w:rsidRPr="002C6F63">
        <w:rPr>
          <w:highlight w:val="lightGray"/>
        </w:rPr>
        <w:t>.1. (OPTIONAL)]</w:t>
      </w:r>
      <w:bookmarkStart w:id="15" w:name="_Ref487716590"/>
      <w:bookmarkStart w:id="16" w:name="_Ref492561842"/>
      <w:bookmarkEnd w:id="14"/>
    </w:p>
    <w:p w14:paraId="46CF1499" w14:textId="77777777" w:rsidR="00704C12" w:rsidRPr="00CD127A" w:rsidRDefault="00704C12" w:rsidP="00013516">
      <w:pPr>
        <w:pStyle w:val="BodyText"/>
        <w:rPr>
          <w:sz w:val="22"/>
          <w:szCs w:val="22"/>
        </w:rPr>
      </w:pPr>
    </w:p>
    <w:p w14:paraId="2FF21E06" w14:textId="2B8EBEAF" w:rsidR="00704C12" w:rsidRPr="00FA400F" w:rsidRDefault="00704C12" w:rsidP="00AF0583">
      <w:pPr>
        <w:pStyle w:val="BodyText"/>
        <w:numPr>
          <w:ilvl w:val="2"/>
          <w:numId w:val="16"/>
        </w:numPr>
        <w:ind w:left="1956" w:right="284" w:hanging="992"/>
      </w:pPr>
      <w:r w:rsidRPr="002C6F63">
        <w:rPr>
          <w:highlight w:val="lightGray"/>
        </w:rPr>
        <w:t xml:space="preserve">[OPTIONAL] Nothing in this Agreement shall </w:t>
      </w:r>
      <w:r w:rsidR="007706CC" w:rsidRPr="002C6F63">
        <w:rPr>
          <w:highlight w:val="lightGray"/>
        </w:rPr>
        <w:t xml:space="preserve">prevent </w:t>
      </w:r>
      <w:r w:rsidRPr="002C6F63">
        <w:rPr>
          <w:highlight w:val="lightGray"/>
        </w:rPr>
        <w:t>the</w:t>
      </w:r>
      <w:r w:rsidR="002C6F63">
        <w:rPr>
          <w:highlight w:val="lightGray"/>
        </w:rPr>
        <w:t xml:space="preserve"> </w:t>
      </w:r>
      <w:r w:rsidR="00986248">
        <w:rPr>
          <w:highlight w:val="lightGray"/>
        </w:rPr>
        <w:t>Client</w:t>
      </w:r>
      <w:r w:rsidRPr="002C6F63">
        <w:rPr>
          <w:highlight w:val="lightGray"/>
        </w:rPr>
        <w:t xml:space="preserve"> from:</w:t>
      </w:r>
      <w:bookmarkEnd w:id="15"/>
      <w:bookmarkEnd w:id="16"/>
    </w:p>
    <w:p w14:paraId="53C7F760" w14:textId="77777777" w:rsidR="00FA400F" w:rsidRPr="002C6F63" w:rsidRDefault="00FA400F" w:rsidP="00FA400F">
      <w:pPr>
        <w:pStyle w:val="BodyText"/>
        <w:ind w:left="720"/>
      </w:pPr>
    </w:p>
    <w:p w14:paraId="7676A005" w14:textId="77777777" w:rsidR="00704C12" w:rsidRPr="002C6F63" w:rsidRDefault="00704C12" w:rsidP="00AF0583">
      <w:pPr>
        <w:pStyle w:val="BodyText"/>
        <w:numPr>
          <w:ilvl w:val="3"/>
          <w:numId w:val="16"/>
        </w:numPr>
        <w:ind w:left="2977" w:right="567" w:hanging="992"/>
      </w:pPr>
      <w:r w:rsidRPr="002C6F63">
        <w:rPr>
          <w:highlight w:val="lightGray"/>
        </w:rPr>
        <w:t>responding to unsolicited approaches from third party employment businesses by referring that employment business to the Employment Business to serve as a sub-contractor or consultant for the Employment Business; and/or</w:t>
      </w:r>
    </w:p>
    <w:p w14:paraId="3FE5E9D6" w14:textId="77777777" w:rsidR="00704C12" w:rsidRPr="002C6F63" w:rsidRDefault="00704C12" w:rsidP="00AF0583">
      <w:pPr>
        <w:pStyle w:val="BodyText"/>
        <w:ind w:left="2977" w:right="567" w:hanging="992"/>
      </w:pPr>
    </w:p>
    <w:p w14:paraId="724880B2" w14:textId="39AC7C3F" w:rsidR="00704C12" w:rsidRPr="002C6F63" w:rsidRDefault="00704C12" w:rsidP="00AF0583">
      <w:pPr>
        <w:pStyle w:val="BodyText"/>
        <w:numPr>
          <w:ilvl w:val="3"/>
          <w:numId w:val="16"/>
        </w:numPr>
        <w:ind w:left="2977" w:right="567" w:hanging="992"/>
      </w:pPr>
      <w:r w:rsidRPr="002C6F63">
        <w:rPr>
          <w:highlight w:val="lightGray"/>
        </w:rPr>
        <w:t xml:space="preserve">responding to unsolicited approaches from </w:t>
      </w:r>
      <w:r w:rsidR="00C95C35">
        <w:rPr>
          <w:highlight w:val="lightGray"/>
        </w:rPr>
        <w:t>work seeker</w:t>
      </w:r>
      <w:r w:rsidRPr="002C6F63">
        <w:rPr>
          <w:highlight w:val="lightGray"/>
        </w:rPr>
        <w:t>s directly; and/or</w:t>
      </w:r>
    </w:p>
    <w:p w14:paraId="627E1137" w14:textId="77777777" w:rsidR="00704C12" w:rsidRPr="002C6F63" w:rsidRDefault="00704C12" w:rsidP="00AF0583">
      <w:pPr>
        <w:pStyle w:val="BodyText"/>
        <w:ind w:left="2977" w:right="567" w:hanging="992"/>
      </w:pPr>
    </w:p>
    <w:p w14:paraId="19676232" w14:textId="64CF73E5" w:rsidR="00704C12" w:rsidRPr="002C6F63" w:rsidRDefault="00704C12" w:rsidP="00AF0583">
      <w:pPr>
        <w:pStyle w:val="BodyText"/>
        <w:numPr>
          <w:ilvl w:val="3"/>
          <w:numId w:val="16"/>
        </w:numPr>
        <w:ind w:left="2977" w:right="567" w:hanging="992"/>
      </w:pPr>
      <w:r w:rsidRPr="002C6F63">
        <w:rPr>
          <w:highlight w:val="lightGray"/>
        </w:rPr>
        <w:t xml:space="preserve">directly approaching </w:t>
      </w:r>
      <w:r w:rsidR="00C95C35">
        <w:rPr>
          <w:highlight w:val="lightGray"/>
        </w:rPr>
        <w:t>work seeker</w:t>
      </w:r>
      <w:r w:rsidRPr="002C6F63">
        <w:rPr>
          <w:highlight w:val="lightGray"/>
        </w:rPr>
        <w:t xml:space="preserve">s using its own resources. </w:t>
      </w:r>
    </w:p>
    <w:p w14:paraId="2E2ECB44" w14:textId="77777777" w:rsidR="00704C12" w:rsidRPr="002C6F63" w:rsidRDefault="00704C12" w:rsidP="00AF0583">
      <w:pPr>
        <w:pStyle w:val="BodyText"/>
        <w:ind w:left="2977" w:right="567" w:hanging="992"/>
      </w:pPr>
    </w:p>
    <w:p w14:paraId="5438C4E5" w14:textId="2ADBA3BC" w:rsidR="00704C12" w:rsidRPr="002C6F63" w:rsidRDefault="00704C12" w:rsidP="00AF0583">
      <w:pPr>
        <w:pStyle w:val="BodyText"/>
        <w:numPr>
          <w:ilvl w:val="2"/>
          <w:numId w:val="16"/>
        </w:numPr>
        <w:ind w:left="1956" w:right="284" w:hanging="992"/>
      </w:pPr>
      <w:r w:rsidRPr="002C6F63">
        <w:t>Subject to the provisions for earlier termination set out in clause 2.</w:t>
      </w:r>
      <w:r w:rsidR="00B06705">
        <w:t>7</w:t>
      </w:r>
      <w:r w:rsidRPr="002C6F63">
        <w:t>.</w:t>
      </w:r>
      <w:r w:rsidR="007706CC" w:rsidRPr="002C6F63">
        <w:t>3</w:t>
      </w:r>
      <w:r w:rsidRPr="002C6F63">
        <w:t xml:space="preserve">. the </w:t>
      </w:r>
      <w:r w:rsidR="00E3492A">
        <w:t>Exclusivity Period</w:t>
      </w:r>
      <w:r w:rsidRPr="002C6F63">
        <w:t xml:space="preserve"> shall terminate on </w:t>
      </w:r>
      <w:r w:rsidRPr="002C6F63">
        <w:rPr>
          <w:highlight w:val="lightGray"/>
        </w:rPr>
        <w:t>[insert date]</w:t>
      </w:r>
      <w:r w:rsidRPr="002C6F63">
        <w:t xml:space="preserve"> or by either party giving the other </w:t>
      </w:r>
      <w:r w:rsidRPr="002C6F63">
        <w:rPr>
          <w:highlight w:val="lightGray"/>
        </w:rPr>
        <w:t>[3 months’ written notice or other such notice as you may require, provided it is reasonable]</w:t>
      </w:r>
      <w:r w:rsidRPr="002C6F63">
        <w:t>.</w:t>
      </w:r>
      <w:bookmarkStart w:id="17" w:name="_Ref487529736"/>
      <w:r w:rsidRPr="002C6F63">
        <w:t xml:space="preserve"> </w:t>
      </w:r>
      <w:bookmarkStart w:id="18" w:name="_Ref487729324"/>
      <w:bookmarkStart w:id="19" w:name="_Ref492628486"/>
    </w:p>
    <w:p w14:paraId="20E67330" w14:textId="77777777" w:rsidR="00704C12" w:rsidRPr="002C6F63" w:rsidRDefault="00704C12" w:rsidP="00AF0583">
      <w:pPr>
        <w:pStyle w:val="BodyText"/>
        <w:ind w:left="1956" w:right="284" w:hanging="992"/>
      </w:pPr>
    </w:p>
    <w:p w14:paraId="43DDC4CA" w14:textId="5D342B1D" w:rsidR="00704C12" w:rsidRPr="002C6F63" w:rsidRDefault="00704C12" w:rsidP="00AF0583">
      <w:pPr>
        <w:pStyle w:val="BodyText"/>
        <w:numPr>
          <w:ilvl w:val="2"/>
          <w:numId w:val="16"/>
        </w:numPr>
        <w:ind w:left="1956" w:right="284" w:hanging="992"/>
      </w:pPr>
      <w:r w:rsidRPr="002C6F63">
        <w:t xml:space="preserve">The Employment Business may terminate the </w:t>
      </w:r>
      <w:r w:rsidR="00E3492A">
        <w:t>Exclusivity Period</w:t>
      </w:r>
      <w:r w:rsidRPr="002C6F63">
        <w:t xml:space="preserve"> with immediate effect by notice in writing i</w:t>
      </w:r>
      <w:r w:rsidR="0005568D">
        <w:t>f</w:t>
      </w:r>
      <w:r w:rsidRPr="002C6F63">
        <w:t xml:space="preserve"> any of the circumstances set out in clause </w:t>
      </w:r>
      <w:r w:rsidRPr="002C6F63">
        <w:fldChar w:fldCharType="begin"/>
      </w:r>
      <w:r w:rsidRPr="002C6F63">
        <w:instrText xml:space="preserve"> REF _Ref480374558 \r \h  \* MERGEFORMAT </w:instrText>
      </w:r>
      <w:r w:rsidRPr="002C6F63">
        <w:fldChar w:fldCharType="separate"/>
      </w:r>
      <w:r w:rsidR="00A46FED">
        <w:t>11.3</w:t>
      </w:r>
      <w:r w:rsidRPr="002C6F63">
        <w:fldChar w:fldCharType="end"/>
      </w:r>
      <w:r w:rsidRPr="002C6F63">
        <w:t>.</w:t>
      </w:r>
      <w:bookmarkEnd w:id="17"/>
      <w:bookmarkEnd w:id="18"/>
      <w:bookmarkEnd w:id="19"/>
      <w:r w:rsidRPr="002C6F63">
        <w:t xml:space="preserve">  </w:t>
      </w:r>
      <w:bookmarkStart w:id="20" w:name="_Ref487712203"/>
    </w:p>
    <w:p w14:paraId="2DD356BF" w14:textId="4D025631" w:rsidR="00704C12" w:rsidRPr="002C6F63" w:rsidRDefault="00704C12" w:rsidP="00AF0583">
      <w:pPr>
        <w:pStyle w:val="BodyText"/>
        <w:ind w:left="1956" w:right="284" w:hanging="992"/>
      </w:pPr>
      <w:bookmarkStart w:id="21" w:name="_Ref487716751"/>
    </w:p>
    <w:p w14:paraId="48A66A7D" w14:textId="1E1CECD8" w:rsidR="00704C12" w:rsidRPr="00D30963" w:rsidRDefault="0005568D" w:rsidP="00AF0583">
      <w:pPr>
        <w:pStyle w:val="BodyText"/>
        <w:numPr>
          <w:ilvl w:val="2"/>
          <w:numId w:val="16"/>
        </w:numPr>
        <w:ind w:left="1956" w:right="284" w:hanging="992"/>
      </w:pPr>
      <w:r>
        <w:t>I</w:t>
      </w:r>
      <w:r w:rsidR="00704C12" w:rsidRPr="002C6F63">
        <w:t xml:space="preserve">f the </w:t>
      </w:r>
      <w:r w:rsidR="00E3492A">
        <w:t>Exclusivity Period</w:t>
      </w:r>
      <w:r w:rsidR="00704C12" w:rsidRPr="002C6F63">
        <w:t xml:space="preserve"> is terminated by either party, the </w:t>
      </w:r>
      <w:r w:rsidR="00986248">
        <w:t>Client</w:t>
      </w:r>
      <w:r>
        <w:t xml:space="preserve"> </w:t>
      </w:r>
      <w:r w:rsidR="00725AD0">
        <w:t xml:space="preserve">must still </w:t>
      </w:r>
      <w:r w:rsidR="00704C12" w:rsidRPr="002C6F63">
        <w:t xml:space="preserve">pay any fees owed to the Employment Business in accordance with the </w:t>
      </w:r>
      <w:r w:rsidR="00704C12" w:rsidRPr="002C6F63">
        <w:lastRenderedPageBreak/>
        <w:t xml:space="preserve">Agreement, irrespective of whether the fees relate to events occurring before or after the </w:t>
      </w:r>
      <w:r w:rsidR="00E3492A">
        <w:t>Exclusivity Period</w:t>
      </w:r>
      <w:r w:rsidR="00704C12" w:rsidRPr="002C6F63">
        <w:t>.</w:t>
      </w:r>
      <w:bookmarkEnd w:id="20"/>
      <w:bookmarkEnd w:id="21"/>
    </w:p>
    <w:p w14:paraId="33501D3F" w14:textId="3D724CF4" w:rsidR="00704C12" w:rsidRPr="00CD127A" w:rsidRDefault="00704C12" w:rsidP="00FE28C9">
      <w:pPr>
        <w:pStyle w:val="Heading3"/>
        <w:numPr>
          <w:ilvl w:val="0"/>
          <w:numId w:val="17"/>
        </w:numPr>
      </w:pPr>
      <w:bookmarkStart w:id="22" w:name="_Ref480444975"/>
      <w:r w:rsidRPr="00CD127A">
        <w:rPr>
          <w:shd w:val="clear" w:color="auto" w:fill="FFFFFF"/>
        </w:rPr>
        <w:t>THE CLIENT’S OBLIGATIONS</w:t>
      </w:r>
      <w:r w:rsidR="00720D68">
        <w:rPr>
          <w:shd w:val="clear" w:color="auto" w:fill="FFFFFF"/>
        </w:rPr>
        <w:t xml:space="preserve"> </w:t>
      </w:r>
      <w:r w:rsidR="00720D68" w:rsidRPr="00CD127A">
        <w:rPr>
          <w:highlight w:val="lightGray"/>
        </w:rPr>
        <w:t>[</w:t>
      </w:r>
      <w:r w:rsidR="00720D68" w:rsidRPr="00720D68">
        <w:rPr>
          <w:i/>
          <w:highlight w:val="lightGray"/>
        </w:rPr>
        <w:t>s</w:t>
      </w:r>
      <w:r w:rsidR="00720D68" w:rsidRPr="00C32985">
        <w:rPr>
          <w:i/>
          <w:highlight w:val="lightGray"/>
        </w:rPr>
        <w:t>ee</w:t>
      </w:r>
      <w:r w:rsidR="00720D68" w:rsidRPr="00CD127A">
        <w:rPr>
          <w:i/>
          <w:highlight w:val="lightGray"/>
        </w:rPr>
        <w:t xml:space="preserve"> Note </w:t>
      </w:r>
      <w:r w:rsidR="00986248">
        <w:rPr>
          <w:i/>
          <w:highlight w:val="lightGray"/>
        </w:rPr>
        <w:t>30</w:t>
      </w:r>
      <w:r w:rsidR="00720D68" w:rsidRPr="00CD127A">
        <w:rPr>
          <w:highlight w:val="lightGray"/>
        </w:rPr>
        <w:t>]</w:t>
      </w:r>
    </w:p>
    <w:p w14:paraId="4FA22560" w14:textId="6B91A23E" w:rsidR="00704C12" w:rsidRDefault="00704C12" w:rsidP="002750D8">
      <w:pPr>
        <w:pStyle w:val="Heading3"/>
        <w:numPr>
          <w:ilvl w:val="0"/>
          <w:numId w:val="0"/>
        </w:numPr>
        <w:rPr>
          <w:highlight w:val="lightGray"/>
        </w:rPr>
      </w:pPr>
      <w:r w:rsidRPr="00CD127A">
        <w:t xml:space="preserve">THE OFF-PAYROLL LEGISLATION </w:t>
      </w:r>
      <w:r w:rsidRPr="00CD127A">
        <w:rPr>
          <w:highlight w:val="lightGray"/>
        </w:rPr>
        <w:t>[</w:t>
      </w:r>
      <w:r w:rsidRPr="00CD127A">
        <w:rPr>
          <w:i/>
          <w:highlight w:val="lightGray"/>
        </w:rPr>
        <w:t>see Notes</w:t>
      </w:r>
      <w:r w:rsidR="00631D75">
        <w:rPr>
          <w:i/>
          <w:highlight w:val="lightGray"/>
        </w:rPr>
        <w:t xml:space="preserve"> 16 and 17</w:t>
      </w:r>
      <w:r w:rsidRPr="00CD127A">
        <w:rPr>
          <w:highlight w:val="lightGray"/>
        </w:rPr>
        <w:t>]</w:t>
      </w:r>
    </w:p>
    <w:p w14:paraId="2D4A59C4" w14:textId="77777777" w:rsidR="007706CC" w:rsidRPr="00CD127A" w:rsidRDefault="007706CC" w:rsidP="00FE1620">
      <w:pPr>
        <w:spacing w:after="0" w:line="240" w:lineRule="auto"/>
        <w:ind w:left="357" w:right="284"/>
        <w:rPr>
          <w:rFonts w:ascii="Lato" w:hAnsi="Lato"/>
          <w:b/>
        </w:rPr>
      </w:pPr>
    </w:p>
    <w:p w14:paraId="53E5F435" w14:textId="77777777" w:rsidR="00DA1414" w:rsidRPr="00DA1414" w:rsidRDefault="00DA1414" w:rsidP="00FE28C9">
      <w:pPr>
        <w:pStyle w:val="ListParagraph"/>
        <w:numPr>
          <w:ilvl w:val="0"/>
          <w:numId w:val="16"/>
        </w:numPr>
        <w:contextualSpacing w:val="0"/>
        <w:jc w:val="left"/>
        <w:rPr>
          <w:vanish/>
        </w:rPr>
      </w:pPr>
    </w:p>
    <w:p w14:paraId="58555777" w14:textId="1962D4B4" w:rsidR="00704C12" w:rsidRPr="00E43CCA" w:rsidRDefault="00704C12" w:rsidP="00AF0583">
      <w:pPr>
        <w:pStyle w:val="BodyText"/>
        <w:numPr>
          <w:ilvl w:val="1"/>
          <w:numId w:val="16"/>
        </w:numPr>
        <w:ind w:left="924" w:right="284" w:hanging="567"/>
      </w:pPr>
      <w:r w:rsidRPr="00E43CCA">
        <w:t>The Client confirms that it is an Exempt Organisation and acknowledges that</w:t>
      </w:r>
      <w:r w:rsidR="00CE51DD" w:rsidRPr="00E43CCA">
        <w:t xml:space="preserve"> where a Temporary Resource provides their services through a PSC, the </w:t>
      </w:r>
      <w:r w:rsidR="00313511">
        <w:t xml:space="preserve">Off-Payroll Rules do not apply. </w:t>
      </w:r>
      <w:r w:rsidR="00B31E5D">
        <w:t xml:space="preserve"> The Client shall respond to the Employment Business's </w:t>
      </w:r>
      <w:r w:rsidR="004F7EED">
        <w:t>request</w:t>
      </w:r>
      <w:r w:rsidR="00B31E5D">
        <w:t xml:space="preserve"> to confirm the Client's Exempt Status within </w:t>
      </w:r>
      <w:r w:rsidR="00B31E5D" w:rsidRPr="001C35DF">
        <w:rPr>
          <w:highlight w:val="lightGray"/>
        </w:rPr>
        <w:t>[7 days]</w:t>
      </w:r>
      <w:r w:rsidR="00B31E5D">
        <w:t xml:space="preserve"> of the date of the request</w:t>
      </w:r>
      <w:r w:rsidR="00B331EF">
        <w:t>.</w:t>
      </w:r>
      <w:r w:rsidR="00B31E5D">
        <w:t xml:space="preserve"> </w:t>
      </w:r>
      <w:r w:rsidRPr="00385CA0">
        <w:rPr>
          <w:highlight w:val="lightGray"/>
        </w:rPr>
        <w:t>[</w:t>
      </w:r>
      <w:r w:rsidRPr="00385CA0">
        <w:rPr>
          <w:i/>
          <w:highlight w:val="lightGray"/>
        </w:rPr>
        <w:t>see Note 11</w:t>
      </w:r>
      <w:r w:rsidRPr="00385CA0">
        <w:rPr>
          <w:highlight w:val="lightGray"/>
        </w:rPr>
        <w:t>]</w:t>
      </w:r>
    </w:p>
    <w:p w14:paraId="5D0963C5" w14:textId="77777777" w:rsidR="00704C12" w:rsidRDefault="00704C12" w:rsidP="00AF0583">
      <w:pPr>
        <w:pStyle w:val="BodyText"/>
        <w:ind w:left="924" w:right="284" w:hanging="567"/>
      </w:pPr>
    </w:p>
    <w:p w14:paraId="21B4C57C" w14:textId="350DFFB3" w:rsidR="00E3492A" w:rsidRDefault="00313511" w:rsidP="00AF0583">
      <w:pPr>
        <w:pStyle w:val="BodyText"/>
        <w:numPr>
          <w:ilvl w:val="1"/>
          <w:numId w:val="16"/>
        </w:numPr>
        <w:ind w:left="924" w:right="284" w:hanging="567"/>
      </w:pPr>
      <w:r w:rsidRPr="007F19F0">
        <w:t>The</w:t>
      </w:r>
      <w:r>
        <w:t xml:space="preserve"> Client undertakes </w:t>
      </w:r>
      <w:r w:rsidR="007F19F0">
        <w:t xml:space="preserve">(a) </w:t>
      </w:r>
      <w:r>
        <w:t xml:space="preserve">to review </w:t>
      </w:r>
      <w:r w:rsidR="007F19F0">
        <w:t>i</w:t>
      </w:r>
      <w:r>
        <w:t xml:space="preserve">ts exempt status </w:t>
      </w:r>
      <w:r w:rsidR="004F7EED">
        <w:t>before th</w:t>
      </w:r>
      <w:r w:rsidR="00E3492A">
        <w:t>e</w:t>
      </w:r>
      <w:r w:rsidR="004F7EED">
        <w:t xml:space="preserve"> start of each</w:t>
      </w:r>
      <w:r>
        <w:t xml:space="preserve"> </w:t>
      </w:r>
      <w:r w:rsidR="000C51EB">
        <w:t>tax</w:t>
      </w:r>
      <w:r>
        <w:t xml:space="preserve"> year</w:t>
      </w:r>
      <w:r w:rsidR="007F19F0">
        <w:t xml:space="preserve"> and (b) </w:t>
      </w:r>
      <w:r w:rsidR="007F19F0" w:rsidRPr="00E43CCA">
        <w:t xml:space="preserve">to </w:t>
      </w:r>
      <w:r w:rsidR="000C51EB">
        <w:t>tell</w:t>
      </w:r>
      <w:r w:rsidR="007F19F0" w:rsidRPr="00E43CCA">
        <w:t xml:space="preserve"> the Employment Business immediately if it </w:t>
      </w:r>
      <w:r w:rsidR="007F19F0">
        <w:t>ceases to be</w:t>
      </w:r>
      <w:r w:rsidR="007F19F0" w:rsidRPr="00E43CCA">
        <w:t xml:space="preserve"> an Exempt Organisation.</w:t>
      </w:r>
      <w:r w:rsidR="007F19F0">
        <w:t xml:space="preserve"> The Client acknowledges that if it ceases to be an Exempt Organisation, the Employment Business must terminate this Agreement (and any Assignments where the services are provided by a PSC) and the parties will contract on terms appropriate to their respective obligations under the Off-Payroll Rules.</w:t>
      </w:r>
    </w:p>
    <w:p w14:paraId="2F08F5B2" w14:textId="77777777" w:rsidR="00E3492A" w:rsidRDefault="00E3492A" w:rsidP="001C35DF">
      <w:pPr>
        <w:pStyle w:val="ListParagraph"/>
        <w:numPr>
          <w:ilvl w:val="0"/>
          <w:numId w:val="0"/>
        </w:numPr>
        <w:ind w:left="360"/>
      </w:pPr>
    </w:p>
    <w:p w14:paraId="30E818E7" w14:textId="1880AF46" w:rsidR="00B12A09" w:rsidRDefault="00E3492A" w:rsidP="00CE2237">
      <w:pPr>
        <w:pStyle w:val="BodyText"/>
        <w:numPr>
          <w:ilvl w:val="1"/>
          <w:numId w:val="16"/>
        </w:numPr>
        <w:ind w:left="924" w:right="284" w:hanging="567"/>
      </w:pPr>
      <w:r>
        <w:t xml:space="preserve">The Client acknowledges </w:t>
      </w:r>
      <w:r w:rsidR="00B12A09">
        <w:t xml:space="preserve">that </w:t>
      </w:r>
      <w:r>
        <w:t>under the Off-Payroll Rules a PSC must assess whether an Assignment is Inside</w:t>
      </w:r>
      <w:r w:rsidR="00B12A09">
        <w:t xml:space="preserve"> IR35</w:t>
      </w:r>
      <w:r>
        <w:t xml:space="preserve"> or Outside IR35. If the Client receives a request for information from either the Employment Business or the PSC </w:t>
      </w:r>
      <w:r w:rsidR="00B12A09">
        <w:t>in relation to an Assignment, the Client will provide a complete and accurate</w:t>
      </w:r>
      <w:r w:rsidR="0005568D">
        <w:t xml:space="preserve"> and accurate</w:t>
      </w:r>
      <w:r w:rsidR="00B12A09">
        <w:t xml:space="preserve"> response about the Assignment.  </w:t>
      </w:r>
    </w:p>
    <w:p w14:paraId="45134D42" w14:textId="75053E5D" w:rsidR="00B12A09" w:rsidRDefault="00B12A09" w:rsidP="001C35DF">
      <w:pPr>
        <w:pStyle w:val="ListParagraph"/>
        <w:numPr>
          <w:ilvl w:val="0"/>
          <w:numId w:val="0"/>
        </w:numPr>
        <w:ind w:left="360"/>
      </w:pPr>
    </w:p>
    <w:p w14:paraId="65366307" w14:textId="7FE512EB" w:rsidR="006F2347" w:rsidRDefault="006F2347" w:rsidP="001C35DF">
      <w:pPr>
        <w:pStyle w:val="ListParagraph"/>
        <w:numPr>
          <w:ilvl w:val="0"/>
          <w:numId w:val="0"/>
        </w:numPr>
        <w:ind w:left="360"/>
        <w:rPr>
          <w:b/>
          <w:bCs/>
        </w:rPr>
      </w:pPr>
      <w:r w:rsidRPr="001C35DF">
        <w:rPr>
          <w:b/>
          <w:bCs/>
        </w:rPr>
        <w:t>OUTSIDE IR</w:t>
      </w:r>
      <w:r>
        <w:rPr>
          <w:b/>
          <w:bCs/>
        </w:rPr>
        <w:t>3</w:t>
      </w:r>
      <w:r w:rsidRPr="001C35DF">
        <w:rPr>
          <w:b/>
          <w:bCs/>
        </w:rPr>
        <w:t>5 ASSIGNMENTS:</w:t>
      </w:r>
    </w:p>
    <w:p w14:paraId="1213C22D" w14:textId="77777777" w:rsidR="006F2347" w:rsidRDefault="006F2347" w:rsidP="001C35DF">
      <w:pPr>
        <w:pStyle w:val="ListParagraph"/>
        <w:numPr>
          <w:ilvl w:val="0"/>
          <w:numId w:val="0"/>
        </w:numPr>
        <w:ind w:left="360"/>
      </w:pPr>
    </w:p>
    <w:p w14:paraId="79974B5F" w14:textId="48BEFAAB" w:rsidR="009D2003" w:rsidRPr="001C35DF" w:rsidRDefault="006F2347" w:rsidP="00B12A09">
      <w:pPr>
        <w:pStyle w:val="BodyText"/>
        <w:numPr>
          <w:ilvl w:val="1"/>
          <w:numId w:val="16"/>
        </w:numPr>
        <w:ind w:left="924" w:right="284" w:hanging="567"/>
      </w:pPr>
      <w:r>
        <w:t xml:space="preserve">The Client acknowledges that: </w:t>
      </w:r>
    </w:p>
    <w:p w14:paraId="3C3386F4" w14:textId="77777777" w:rsidR="009D2003" w:rsidRDefault="009D2003" w:rsidP="001C35DF">
      <w:pPr>
        <w:pStyle w:val="ListParagraph"/>
        <w:numPr>
          <w:ilvl w:val="0"/>
          <w:numId w:val="0"/>
        </w:numPr>
        <w:ind w:left="360"/>
      </w:pPr>
    </w:p>
    <w:p w14:paraId="6477C0DD" w14:textId="229A86EC" w:rsidR="00B12A09" w:rsidRDefault="00B12A09" w:rsidP="001C35DF">
      <w:pPr>
        <w:pStyle w:val="BodyText"/>
        <w:numPr>
          <w:ilvl w:val="2"/>
          <w:numId w:val="16"/>
        </w:numPr>
        <w:ind w:left="1956" w:right="284" w:hanging="992"/>
      </w:pPr>
      <w:bookmarkStart w:id="23" w:name="_Ref480381249"/>
      <w:r>
        <w:t xml:space="preserve">the </w:t>
      </w:r>
      <w:r w:rsidR="009D2003">
        <w:t>PSC</w:t>
      </w:r>
      <w:r>
        <w:t xml:space="preserve"> may supply any of the </w:t>
      </w:r>
      <w:r w:rsidR="009D2003">
        <w:t>Intermediary</w:t>
      </w:r>
      <w:r>
        <w:t xml:space="preserve"> Staff to perform the </w:t>
      </w:r>
      <w:r w:rsidR="009D2003">
        <w:t>Assignment</w:t>
      </w:r>
      <w:r>
        <w:t xml:space="preserve"> Services and where the </w:t>
      </w:r>
      <w:r w:rsidR="009D2003">
        <w:t>PSC</w:t>
      </w:r>
      <w:r>
        <w:t xml:space="preserve"> is unable to provide any part of the </w:t>
      </w:r>
      <w:r w:rsidR="009D2003">
        <w:t>Assignment</w:t>
      </w:r>
      <w:r>
        <w:t xml:space="preserve"> Services for whatever reason the </w:t>
      </w:r>
      <w:r w:rsidR="009D2003">
        <w:t>PSC</w:t>
      </w:r>
      <w:r>
        <w:t xml:space="preserve"> shall be entitled to assign or sub-contract the performance of the </w:t>
      </w:r>
      <w:r w:rsidR="009D2003">
        <w:t>Assignment</w:t>
      </w:r>
      <w:r>
        <w:t xml:space="preserve"> Services provided that the Employment Business and the Client are reasonably satisfied that the assignee or sub-contractor has the required skills, qualifications, resources and personnel to provide the </w:t>
      </w:r>
      <w:r w:rsidR="009D2003">
        <w:t>Assignment</w:t>
      </w:r>
      <w:r>
        <w:t xml:space="preserve"> Services to the required standard and that the terms of any such assignment or sub-contract contain the same acknowledgements under and obligations imposed by the agreement between the </w:t>
      </w:r>
      <w:r w:rsidR="009D2003">
        <w:t>PSC</w:t>
      </w:r>
      <w:r>
        <w:t xml:space="preserve"> and the Employment Business. The Client shall not unreasonably withhold or delay any approval sought for the assignment or sub-contracting of the </w:t>
      </w:r>
      <w:r w:rsidR="009D2003">
        <w:t>Assignment</w:t>
      </w:r>
      <w:r>
        <w:t xml:space="preserve"> Services</w:t>
      </w:r>
      <w:r w:rsidR="006F2347">
        <w:t>;</w:t>
      </w:r>
      <w:r>
        <w:t xml:space="preserve"> </w:t>
      </w:r>
      <w:r w:rsidRPr="001C35DF">
        <w:rPr>
          <w:highlight w:val="lightGray"/>
        </w:rPr>
        <w:t>[</w:t>
      </w:r>
      <w:r w:rsidRPr="001C35DF">
        <w:rPr>
          <w:i/>
          <w:highlight w:val="lightGray"/>
        </w:rPr>
        <w:t>see Note</w:t>
      </w:r>
      <w:r w:rsidR="00631D75">
        <w:rPr>
          <w:i/>
          <w:highlight w:val="lightGray"/>
        </w:rPr>
        <w:t xml:space="preserve"> 12</w:t>
      </w:r>
      <w:r w:rsidRPr="001C35DF">
        <w:rPr>
          <w:highlight w:val="lightGray"/>
        </w:rPr>
        <w:t>]</w:t>
      </w:r>
      <w:bookmarkStart w:id="24" w:name="_Ref480381264"/>
      <w:bookmarkEnd w:id="23"/>
      <w:r>
        <w:t xml:space="preserve"> </w:t>
      </w:r>
    </w:p>
    <w:p w14:paraId="6D93668D" w14:textId="77777777" w:rsidR="009D2003" w:rsidRDefault="009D2003" w:rsidP="001C35DF">
      <w:pPr>
        <w:pStyle w:val="ListParagraph"/>
        <w:numPr>
          <w:ilvl w:val="0"/>
          <w:numId w:val="0"/>
        </w:numPr>
        <w:ind w:left="360"/>
      </w:pPr>
    </w:p>
    <w:p w14:paraId="44A16295" w14:textId="77777777" w:rsidR="006F2347" w:rsidRDefault="00B12A09" w:rsidP="001C35DF">
      <w:pPr>
        <w:pStyle w:val="BodyText"/>
        <w:numPr>
          <w:ilvl w:val="2"/>
          <w:numId w:val="16"/>
        </w:numPr>
        <w:ind w:left="1956" w:right="284" w:hanging="992"/>
      </w:pPr>
      <w:r>
        <w:t xml:space="preserve">the </w:t>
      </w:r>
      <w:r w:rsidR="009D2003">
        <w:t>PSC</w:t>
      </w:r>
      <w:r>
        <w:t xml:space="preserve"> shall be permitted to determine how it will provide the </w:t>
      </w:r>
      <w:r w:rsidR="009D2003">
        <w:t>Assignment</w:t>
      </w:r>
      <w:r>
        <w:t xml:space="preserve"> Services and will have the flexibility to determine the number of hours required and the times worked, to complete the </w:t>
      </w:r>
      <w:r w:rsidR="009D2003">
        <w:t>Assignment</w:t>
      </w:r>
      <w:r>
        <w:t xml:space="preserve"> Services, subject to the </w:t>
      </w:r>
      <w:r w:rsidR="009D2003">
        <w:t>PSC</w:t>
      </w:r>
      <w:r>
        <w:t xml:space="preserve"> complying with any reasonable operational requirements of the Client. The </w:t>
      </w:r>
      <w:r w:rsidR="009D2003">
        <w:t>PSC</w:t>
      </w:r>
      <w:r>
        <w:t xml:space="preserve"> </w:t>
      </w:r>
      <w:r w:rsidR="007F594F">
        <w:t>can</w:t>
      </w:r>
      <w:r>
        <w:t xml:space="preserve"> determine the location </w:t>
      </w:r>
      <w:r w:rsidR="008F2D62">
        <w:t xml:space="preserve">where </w:t>
      </w:r>
      <w:r>
        <w:t xml:space="preserve">it will provide the </w:t>
      </w:r>
      <w:r w:rsidR="009D2003">
        <w:t>Assignment</w:t>
      </w:r>
      <w:r>
        <w:t xml:space="preserve"> Services, but where the </w:t>
      </w:r>
      <w:r w:rsidR="009D2003">
        <w:t>Assignment</w:t>
      </w:r>
      <w:r>
        <w:t xml:space="preserve"> Services are undertaken at the Client’s site, the </w:t>
      </w:r>
      <w:r w:rsidR="009D2003">
        <w:t>PSC</w:t>
      </w:r>
      <w:r>
        <w:t xml:space="preserve"> will comply with any reasonable requirements relating to working hours, and any other operational requirements in relation to the Client’s site</w:t>
      </w:r>
      <w:r w:rsidR="006F2347">
        <w:t xml:space="preserve">; </w:t>
      </w:r>
    </w:p>
    <w:p w14:paraId="7E4FBAED" w14:textId="77777777" w:rsidR="006F2347" w:rsidRDefault="006F2347" w:rsidP="00B42F64">
      <w:pPr>
        <w:pStyle w:val="ListParagraph"/>
        <w:numPr>
          <w:ilvl w:val="0"/>
          <w:numId w:val="0"/>
        </w:numPr>
        <w:ind w:left="360"/>
      </w:pPr>
    </w:p>
    <w:p w14:paraId="637DB45A" w14:textId="53C31D44" w:rsidR="00B12A09" w:rsidRDefault="00B12A09" w:rsidP="001C35DF">
      <w:pPr>
        <w:pStyle w:val="BodyText"/>
        <w:numPr>
          <w:ilvl w:val="2"/>
          <w:numId w:val="16"/>
        </w:numPr>
        <w:ind w:left="1956" w:right="284" w:hanging="992"/>
      </w:pPr>
      <w:r>
        <w:lastRenderedPageBreak/>
        <w:t>neither the</w:t>
      </w:r>
      <w:r w:rsidR="00C141A1">
        <w:t xml:space="preserve"> relevant</w:t>
      </w:r>
      <w:r>
        <w:t xml:space="preserve"> </w:t>
      </w:r>
      <w:r w:rsidR="009D2003">
        <w:t>PSC</w:t>
      </w:r>
      <w:r>
        <w:t xml:space="preserve"> nor the </w:t>
      </w:r>
      <w:r w:rsidR="009D2003">
        <w:t>Intermediary</w:t>
      </w:r>
      <w:r>
        <w:t xml:space="preserve"> Staff</w:t>
      </w:r>
      <w:r w:rsidR="00C141A1">
        <w:t xml:space="preserve">, </w:t>
      </w:r>
      <w:bookmarkStart w:id="25" w:name="_Hlk51056931"/>
      <w:r w:rsidR="00C141A1" w:rsidRPr="00CD127A">
        <w:t xml:space="preserve">nor any </w:t>
      </w:r>
      <w:r w:rsidR="00C141A1">
        <w:t xml:space="preserve">substitute, or </w:t>
      </w:r>
      <w:r w:rsidR="00C141A1" w:rsidRPr="00CD127A">
        <w:t>assignee or sub-contractor</w:t>
      </w:r>
      <w:r w:rsidR="00B06705">
        <w:t>,</w:t>
      </w:r>
      <w:r w:rsidR="00C141A1" w:rsidRPr="00CD127A">
        <w:t xml:space="preserve"> </w:t>
      </w:r>
      <w:bookmarkEnd w:id="25"/>
      <w:r w:rsidR="00C141A1" w:rsidRPr="00CD127A">
        <w:t xml:space="preserve">work </w:t>
      </w:r>
      <w:r>
        <w:t xml:space="preserve">under (or subject to the right of) supervision, direction or control of the Client as to the manner in which they provide the </w:t>
      </w:r>
      <w:r w:rsidR="009D2003">
        <w:t>Assignment</w:t>
      </w:r>
      <w:r>
        <w:t xml:space="preserve"> Services.  </w:t>
      </w:r>
      <w:r w:rsidRPr="001C35DF">
        <w:rPr>
          <w:highlight w:val="lightGray"/>
        </w:rPr>
        <w:t>[</w:t>
      </w:r>
      <w:r w:rsidRPr="001C35DF">
        <w:rPr>
          <w:i/>
          <w:highlight w:val="lightGray"/>
        </w:rPr>
        <w:t>see Note</w:t>
      </w:r>
      <w:r w:rsidR="00631D75">
        <w:rPr>
          <w:i/>
          <w:highlight w:val="lightGray"/>
        </w:rPr>
        <w:t xml:space="preserve"> 12</w:t>
      </w:r>
      <w:r w:rsidRPr="001C35DF">
        <w:rPr>
          <w:highlight w:val="lightGray"/>
        </w:rPr>
        <w:t>]</w:t>
      </w:r>
      <w:bookmarkEnd w:id="24"/>
    </w:p>
    <w:p w14:paraId="69672687" w14:textId="4220E206" w:rsidR="00704C12" w:rsidRDefault="00704C12" w:rsidP="00DA1414">
      <w:pPr>
        <w:pStyle w:val="Heading3"/>
        <w:numPr>
          <w:ilvl w:val="0"/>
          <w:numId w:val="0"/>
        </w:numPr>
        <w:ind w:left="720" w:hanging="720"/>
        <w:rPr>
          <w:highlight w:val="lightGray"/>
        </w:rPr>
      </w:pPr>
      <w:r w:rsidRPr="00CD127A">
        <w:t xml:space="preserve">THE CONDUCT REGULATIONS </w:t>
      </w:r>
    </w:p>
    <w:p w14:paraId="16E4B9B3" w14:textId="77777777" w:rsidR="007706CC" w:rsidRPr="00CD127A" w:rsidRDefault="007706CC" w:rsidP="00FE1620">
      <w:pPr>
        <w:spacing w:after="0" w:line="240" w:lineRule="auto"/>
        <w:ind w:left="357" w:right="284"/>
        <w:rPr>
          <w:rFonts w:ascii="Lato" w:hAnsi="Lato"/>
          <w:b/>
        </w:rPr>
      </w:pPr>
    </w:p>
    <w:p w14:paraId="271271C7" w14:textId="77777777" w:rsidR="00704C12" w:rsidRPr="00CD127A" w:rsidRDefault="00704C12" w:rsidP="00AF0583">
      <w:pPr>
        <w:pStyle w:val="BodyText"/>
        <w:numPr>
          <w:ilvl w:val="1"/>
          <w:numId w:val="16"/>
        </w:numPr>
        <w:ind w:left="924" w:right="284" w:hanging="567"/>
      </w:pPr>
      <w:r w:rsidRPr="00CD127A">
        <w:rPr>
          <w:b/>
        </w:rPr>
        <w:t>WHERE THE CONDUCT REGULATIONS APPLY:</w:t>
      </w:r>
      <w:r w:rsidRPr="00CD127A">
        <w:t xml:space="preserve"> To enable the Employment Business to comply with its obligations under the Conduct Regulations the Client undertakes to provide to the Employment Business details of the position which the Client seeks to fill, including the following:  </w:t>
      </w:r>
    </w:p>
    <w:p w14:paraId="09A3A4FB" w14:textId="77777777" w:rsidR="00704C12" w:rsidRPr="00CD127A" w:rsidRDefault="00704C12" w:rsidP="00DA1414">
      <w:pPr>
        <w:pStyle w:val="BodyText"/>
      </w:pPr>
    </w:p>
    <w:p w14:paraId="65FCE1CF" w14:textId="77777777" w:rsidR="00704C12" w:rsidRPr="00CD127A" w:rsidRDefault="00704C12" w:rsidP="00AF0583">
      <w:pPr>
        <w:pStyle w:val="BodyText"/>
        <w:numPr>
          <w:ilvl w:val="2"/>
          <w:numId w:val="16"/>
        </w:numPr>
        <w:ind w:left="1956" w:right="284" w:hanging="992"/>
      </w:pPr>
      <w:r w:rsidRPr="00CD127A">
        <w:t xml:space="preserve">the type of work that the Temporary Resource would be required to do; </w:t>
      </w:r>
    </w:p>
    <w:p w14:paraId="316FBDFB" w14:textId="77777777" w:rsidR="00704C12" w:rsidRPr="00CD127A" w:rsidRDefault="00704C12" w:rsidP="00AF0583">
      <w:pPr>
        <w:pStyle w:val="BodyText"/>
        <w:ind w:left="1956" w:right="284" w:hanging="992"/>
      </w:pPr>
    </w:p>
    <w:p w14:paraId="26D822B9" w14:textId="77777777" w:rsidR="00704C12" w:rsidRPr="00CD127A" w:rsidRDefault="00704C12" w:rsidP="00AF0583">
      <w:pPr>
        <w:pStyle w:val="BodyText"/>
        <w:numPr>
          <w:ilvl w:val="2"/>
          <w:numId w:val="16"/>
        </w:numPr>
        <w:ind w:left="1956" w:right="284" w:hanging="992"/>
      </w:pPr>
      <w:r w:rsidRPr="00CD127A">
        <w:t xml:space="preserve">the location and hours of work;   </w:t>
      </w:r>
    </w:p>
    <w:p w14:paraId="4CB8D332" w14:textId="77777777" w:rsidR="00704C12" w:rsidRPr="00CD127A" w:rsidRDefault="00704C12" w:rsidP="00AF0583">
      <w:pPr>
        <w:pStyle w:val="BodyText"/>
        <w:ind w:left="1956" w:right="284" w:hanging="992"/>
        <w:rPr>
          <w:sz w:val="22"/>
          <w:szCs w:val="22"/>
        </w:rPr>
      </w:pPr>
    </w:p>
    <w:p w14:paraId="698B03A5" w14:textId="77777777" w:rsidR="00704C12" w:rsidRDefault="00704C12" w:rsidP="00AF0583">
      <w:pPr>
        <w:pStyle w:val="BodyText"/>
        <w:numPr>
          <w:ilvl w:val="2"/>
          <w:numId w:val="16"/>
        </w:numPr>
        <w:ind w:left="1956" w:right="284" w:hanging="992"/>
      </w:pPr>
      <w:r w:rsidRPr="00CD127A">
        <w:t>the experience, training, qualifications and any authorisation which the Client considers necessary or which are required by law or any professional body for the Temporary Resource to possess in order to work in the position;</w:t>
      </w:r>
    </w:p>
    <w:p w14:paraId="1517D305" w14:textId="77777777" w:rsidR="00704C12" w:rsidRDefault="00704C12" w:rsidP="00AF0583">
      <w:pPr>
        <w:pStyle w:val="BodyText"/>
        <w:ind w:left="1956" w:right="284" w:hanging="992"/>
        <w:rPr>
          <w:sz w:val="22"/>
          <w:szCs w:val="22"/>
        </w:rPr>
      </w:pPr>
    </w:p>
    <w:p w14:paraId="4E0726E1" w14:textId="77777777" w:rsidR="00704C12" w:rsidRPr="00CD127A" w:rsidRDefault="00704C12" w:rsidP="00AF0583">
      <w:pPr>
        <w:pStyle w:val="BodyText"/>
        <w:numPr>
          <w:ilvl w:val="2"/>
          <w:numId w:val="16"/>
        </w:numPr>
        <w:ind w:left="1956" w:right="284" w:hanging="992"/>
      </w:pPr>
      <w:r w:rsidRPr="00CD127A">
        <w:t xml:space="preserve">any risks to health or safety known to the Client and what steps the Client has taken to prevent or control such risks;  </w:t>
      </w:r>
    </w:p>
    <w:p w14:paraId="036B6B32" w14:textId="77777777" w:rsidR="00704C12" w:rsidRPr="00CD127A" w:rsidRDefault="00704C12" w:rsidP="00AF0583">
      <w:pPr>
        <w:pStyle w:val="BodyText"/>
        <w:ind w:left="1956" w:right="284" w:hanging="992"/>
        <w:rPr>
          <w:sz w:val="22"/>
          <w:szCs w:val="22"/>
        </w:rPr>
      </w:pPr>
    </w:p>
    <w:p w14:paraId="4AFC0E64" w14:textId="77777777" w:rsidR="00704C12" w:rsidRPr="00CD127A" w:rsidRDefault="00704C12" w:rsidP="00AF0583">
      <w:pPr>
        <w:pStyle w:val="BodyText"/>
        <w:numPr>
          <w:ilvl w:val="2"/>
          <w:numId w:val="16"/>
        </w:numPr>
        <w:ind w:left="1956" w:right="284" w:hanging="992"/>
      </w:pPr>
      <w:r w:rsidRPr="00CD127A">
        <w:t xml:space="preserve">the date the Client requires the Temporary Resource to start the Assignment; and </w:t>
      </w:r>
    </w:p>
    <w:p w14:paraId="42C0F921" w14:textId="77777777" w:rsidR="00704C12" w:rsidRPr="00CD127A" w:rsidRDefault="00704C12" w:rsidP="00AF0583">
      <w:pPr>
        <w:pStyle w:val="BodyText"/>
        <w:ind w:left="1956" w:right="284" w:hanging="992"/>
        <w:rPr>
          <w:sz w:val="22"/>
          <w:szCs w:val="22"/>
        </w:rPr>
      </w:pPr>
    </w:p>
    <w:p w14:paraId="5F6D6C23" w14:textId="64120358" w:rsidR="00E53B29" w:rsidRDefault="00704C12" w:rsidP="00AF0583">
      <w:pPr>
        <w:pStyle w:val="BodyText"/>
        <w:numPr>
          <w:ilvl w:val="2"/>
          <w:numId w:val="16"/>
        </w:numPr>
        <w:ind w:left="1956" w:right="284" w:hanging="992"/>
      </w:pPr>
      <w:r w:rsidRPr="00CD127A">
        <w:t xml:space="preserve">the duration or likely duration of the Assignment. </w:t>
      </w:r>
    </w:p>
    <w:p w14:paraId="6EE4B941" w14:textId="77777777" w:rsidR="00F02300" w:rsidRDefault="00F02300" w:rsidP="00B96D36">
      <w:pPr>
        <w:pStyle w:val="ListParagraph"/>
        <w:numPr>
          <w:ilvl w:val="0"/>
          <w:numId w:val="0"/>
        </w:numPr>
        <w:ind w:left="1440"/>
      </w:pPr>
    </w:p>
    <w:p w14:paraId="221731F8" w14:textId="18DA652E" w:rsidR="00F02300" w:rsidRPr="00B96D36" w:rsidRDefault="00F02300" w:rsidP="00F02300">
      <w:pPr>
        <w:pStyle w:val="BodyText"/>
        <w:numPr>
          <w:ilvl w:val="1"/>
          <w:numId w:val="16"/>
        </w:numPr>
        <w:ind w:right="284"/>
      </w:pPr>
      <w:r>
        <w:rPr>
          <w:b/>
        </w:rPr>
        <w:t xml:space="preserve">WHERE </w:t>
      </w:r>
      <w:r w:rsidRPr="004D42C1">
        <w:rPr>
          <w:b/>
        </w:rPr>
        <w:t xml:space="preserve">THE CONDUCT REGULATIONS </w:t>
      </w:r>
      <w:proofErr w:type="spellStart"/>
      <w:r w:rsidRPr="004D42C1">
        <w:rPr>
          <w:b/>
        </w:rPr>
        <w:t>APPLY:</w:t>
      </w:r>
      <w:r w:rsidR="004E33CC" w:rsidRPr="004D42C1">
        <w:t>The</w:t>
      </w:r>
      <w:proofErr w:type="spellEnd"/>
      <w:r w:rsidR="004E33CC" w:rsidRPr="004D42C1">
        <w:t xml:space="preserve"> Client undertakes not to request the supply of a Temporary Worker to perform the duties normally performed by a worker who is taking part in official industrial action or duties normally performed by a worker</w:t>
      </w:r>
      <w:r w:rsidR="004E33CC" w:rsidRPr="004D42C1">
        <w:rPr>
          <w:bCs/>
          <w:lang w:eastAsia="ja-JP"/>
        </w:rPr>
        <w:t xml:space="preserve"> who has been transferred by the Client to perform the duties of a person on strike or taking official industrial action</w:t>
      </w:r>
      <w:r w:rsidR="004E33CC" w:rsidRPr="004D42C1">
        <w:rPr>
          <w:bCs/>
        </w:rPr>
        <w:t xml:space="preserve">. </w:t>
      </w:r>
      <w:r w:rsidR="00BC2580" w:rsidRPr="0066081C">
        <w:rPr>
          <w:bCs/>
          <w:i/>
          <w:iCs/>
        </w:rPr>
        <w:t>[See note 32</w:t>
      </w:r>
      <w:r w:rsidR="00BC2580">
        <w:rPr>
          <w:bCs/>
        </w:rPr>
        <w:t>]</w:t>
      </w:r>
    </w:p>
    <w:p w14:paraId="49E9F3B1" w14:textId="77777777" w:rsidR="00F02300" w:rsidRPr="00B96D36" w:rsidRDefault="00F02300" w:rsidP="00B96D36">
      <w:pPr>
        <w:pStyle w:val="BodyText"/>
        <w:ind w:left="792" w:right="284"/>
      </w:pPr>
    </w:p>
    <w:p w14:paraId="247C324C" w14:textId="1DBE0FB8" w:rsidR="00F02300" w:rsidRDefault="00F02300" w:rsidP="00B96D36">
      <w:pPr>
        <w:pStyle w:val="BodyText"/>
        <w:numPr>
          <w:ilvl w:val="1"/>
          <w:numId w:val="16"/>
        </w:numPr>
        <w:ind w:right="284"/>
      </w:pPr>
      <w:r w:rsidRPr="004D42C1">
        <w:rPr>
          <w:b/>
          <w:bCs/>
        </w:rPr>
        <w:t>WHERE THE CONDUCT REGULATIONS APPLY:</w:t>
      </w:r>
      <w:r w:rsidRPr="004D42C1">
        <w:rPr>
          <w:bCs/>
        </w:rPr>
        <w:t xml:space="preserve"> </w:t>
      </w:r>
      <w:r w:rsidRPr="004D42C1">
        <w:t xml:space="preserve">The Client undertakes that it knows of no reason why it would be detrimental to the interests of a Temporary Resource for a Temporary Resource to fill the Assignment. </w:t>
      </w:r>
      <w:r w:rsidRPr="004D42C1">
        <w:rPr>
          <w:bCs/>
          <w:highlight w:val="lightGray"/>
        </w:rPr>
        <w:t>[</w:t>
      </w:r>
      <w:r w:rsidRPr="004D42C1">
        <w:rPr>
          <w:bCs/>
          <w:i/>
          <w:highlight w:val="lightGray"/>
        </w:rPr>
        <w:t xml:space="preserve">see Note </w:t>
      </w:r>
      <w:r w:rsidR="00F9218F">
        <w:rPr>
          <w:bCs/>
          <w:i/>
          <w:highlight w:val="lightGray"/>
        </w:rPr>
        <w:t>3</w:t>
      </w:r>
      <w:r w:rsidR="006162E8">
        <w:rPr>
          <w:bCs/>
          <w:i/>
          <w:highlight w:val="lightGray"/>
        </w:rPr>
        <w:t>2</w:t>
      </w:r>
      <w:r w:rsidRPr="004D42C1">
        <w:rPr>
          <w:bCs/>
          <w:highlight w:val="lightGray"/>
        </w:rPr>
        <w:t>]</w:t>
      </w:r>
    </w:p>
    <w:p w14:paraId="4276A385" w14:textId="1DEE70E3" w:rsidR="00704C12" w:rsidRPr="00E53B29" w:rsidRDefault="00704C12" w:rsidP="00E53B29">
      <w:pPr>
        <w:pStyle w:val="Heading3"/>
        <w:numPr>
          <w:ilvl w:val="0"/>
          <w:numId w:val="0"/>
        </w:numPr>
        <w:ind w:left="720" w:hanging="720"/>
      </w:pPr>
      <w:r w:rsidRPr="00E53B29">
        <w:t xml:space="preserve">THE </w:t>
      </w:r>
      <w:proofErr w:type="spellStart"/>
      <w:r w:rsidRPr="00E53B29">
        <w:t>AWR</w:t>
      </w:r>
      <w:proofErr w:type="spellEnd"/>
    </w:p>
    <w:p w14:paraId="5C6C0406" w14:textId="77777777" w:rsidR="00704C12" w:rsidRPr="00CD127A" w:rsidRDefault="00704C12" w:rsidP="00FE1620">
      <w:pPr>
        <w:pStyle w:val="ListParagraph"/>
        <w:numPr>
          <w:ilvl w:val="0"/>
          <w:numId w:val="0"/>
        </w:numPr>
        <w:ind w:left="1440"/>
        <w:jc w:val="left"/>
        <w:rPr>
          <w:sz w:val="22"/>
          <w:szCs w:val="22"/>
        </w:rPr>
      </w:pPr>
    </w:p>
    <w:p w14:paraId="36E34ACC" w14:textId="7F35CDB2" w:rsidR="00704C12" w:rsidRPr="00CD127A" w:rsidRDefault="00704C12" w:rsidP="00AF0583">
      <w:pPr>
        <w:pStyle w:val="BodyText"/>
        <w:numPr>
          <w:ilvl w:val="1"/>
          <w:numId w:val="16"/>
        </w:numPr>
        <w:ind w:left="924" w:right="284" w:hanging="567"/>
      </w:pPr>
      <w:r w:rsidRPr="00CD127A">
        <w:t xml:space="preserve">The </w:t>
      </w:r>
      <w:proofErr w:type="spellStart"/>
      <w:r w:rsidRPr="00CD127A">
        <w:t>AWR</w:t>
      </w:r>
      <w:proofErr w:type="spellEnd"/>
      <w:r w:rsidRPr="00CD127A">
        <w:t xml:space="preserve"> appl</w:t>
      </w:r>
      <w:r w:rsidR="00F63FCE">
        <w:t>y</w:t>
      </w:r>
      <w:r w:rsidRPr="00CD127A">
        <w:t xml:space="preserve"> where a Temporary Resource is an </w:t>
      </w:r>
      <w:r w:rsidR="00304D2E">
        <w:t>Agency Worker</w:t>
      </w:r>
      <w:r w:rsidRPr="00CD127A">
        <w:t xml:space="preserve"> as defined in the </w:t>
      </w:r>
      <w:proofErr w:type="spellStart"/>
      <w:r w:rsidRPr="00CD127A">
        <w:t>AWR</w:t>
      </w:r>
      <w:proofErr w:type="spellEnd"/>
      <w:r w:rsidRPr="00CD127A">
        <w:t>.  The provisions in clauses 3.</w:t>
      </w:r>
      <w:r w:rsidR="007F594F">
        <w:t>9</w:t>
      </w:r>
      <w:r w:rsidRPr="00CD127A">
        <w:t xml:space="preserve"> to 3.</w:t>
      </w:r>
      <w:r w:rsidR="00F02300">
        <w:t>12</w:t>
      </w:r>
      <w:r w:rsidRPr="00CD127A">
        <w:t xml:space="preserve"> inclusive apply when the </w:t>
      </w:r>
      <w:proofErr w:type="spellStart"/>
      <w:r w:rsidRPr="00CD127A">
        <w:t>AWR</w:t>
      </w:r>
      <w:proofErr w:type="spellEnd"/>
      <w:r w:rsidRPr="00CD127A">
        <w:t xml:space="preserve"> apply.</w:t>
      </w:r>
    </w:p>
    <w:p w14:paraId="48B94E2C" w14:textId="77777777" w:rsidR="00704C12" w:rsidRPr="00CD127A" w:rsidRDefault="00704C12" w:rsidP="00AF0583">
      <w:pPr>
        <w:pStyle w:val="BodyText"/>
        <w:ind w:left="924" w:right="284" w:hanging="567"/>
        <w:rPr>
          <w:sz w:val="22"/>
          <w:szCs w:val="22"/>
        </w:rPr>
      </w:pPr>
    </w:p>
    <w:p w14:paraId="07F8D491" w14:textId="631C6F14" w:rsidR="00704C12" w:rsidRPr="00CD127A" w:rsidRDefault="00704C12" w:rsidP="00AF0583">
      <w:pPr>
        <w:pStyle w:val="BodyText"/>
        <w:numPr>
          <w:ilvl w:val="1"/>
          <w:numId w:val="16"/>
        </w:numPr>
        <w:ind w:left="924" w:right="284" w:hanging="567"/>
      </w:pPr>
      <w:r w:rsidRPr="00CD127A">
        <w:t xml:space="preserve">The Client will comply with its obligations under Regulations 12 (Rights of </w:t>
      </w:r>
      <w:r w:rsidR="00304D2E">
        <w:t>Agency Worker</w:t>
      </w:r>
      <w:r w:rsidRPr="00CD127A">
        <w:t xml:space="preserve">s in relation to access to collective facilities and amenities) and 13 (Rights of </w:t>
      </w:r>
      <w:r w:rsidR="00304D2E">
        <w:t>Agency Worker</w:t>
      </w:r>
      <w:r w:rsidRPr="00CD127A">
        <w:t xml:space="preserve">s in relation to access to employment) of the </w:t>
      </w:r>
      <w:proofErr w:type="spellStart"/>
      <w:r w:rsidRPr="00CD127A">
        <w:t>AWR</w:t>
      </w:r>
      <w:proofErr w:type="spellEnd"/>
      <w:r w:rsidRPr="00CD127A">
        <w:t xml:space="preserve">. </w:t>
      </w:r>
      <w:r w:rsidRPr="00CD127A">
        <w:rPr>
          <w:highlight w:val="lightGray"/>
        </w:rPr>
        <w:t>[</w:t>
      </w:r>
      <w:r w:rsidRPr="00CD127A">
        <w:rPr>
          <w:i/>
          <w:highlight w:val="lightGray"/>
        </w:rPr>
        <w:t>see Note 3</w:t>
      </w:r>
      <w:r w:rsidR="006162E8">
        <w:rPr>
          <w:i/>
          <w:highlight w:val="lightGray"/>
        </w:rPr>
        <w:t>3</w:t>
      </w:r>
      <w:r w:rsidRPr="00CD127A">
        <w:rPr>
          <w:highlight w:val="lightGray"/>
        </w:rPr>
        <w:t>]</w:t>
      </w:r>
    </w:p>
    <w:p w14:paraId="6FFF6556" w14:textId="77777777" w:rsidR="00704C12" w:rsidRPr="00CD127A" w:rsidRDefault="00704C12" w:rsidP="00AF0583">
      <w:pPr>
        <w:pStyle w:val="BodyText"/>
        <w:ind w:left="924" w:right="284" w:hanging="567"/>
      </w:pPr>
    </w:p>
    <w:p w14:paraId="33DF89F5" w14:textId="04938127" w:rsidR="00704C12" w:rsidRPr="00CD127A" w:rsidRDefault="00704C12" w:rsidP="00AF0583">
      <w:pPr>
        <w:pStyle w:val="BodyText"/>
        <w:numPr>
          <w:ilvl w:val="1"/>
          <w:numId w:val="16"/>
        </w:numPr>
        <w:ind w:left="924" w:right="284" w:hanging="567"/>
      </w:pPr>
      <w:r w:rsidRPr="00CD127A">
        <w:t xml:space="preserve">To enable the Employment Business to comply with its obligations under the </w:t>
      </w:r>
      <w:proofErr w:type="spellStart"/>
      <w:r w:rsidRPr="00CD127A">
        <w:t>AWR</w:t>
      </w:r>
      <w:proofErr w:type="spellEnd"/>
      <w:r w:rsidRPr="00CD127A">
        <w:t>, the Client undertakes as soon as possible prior to the commencement of each Assignment and during each Assignment  and at any time at the Employment Business’s request:</w:t>
      </w:r>
    </w:p>
    <w:p w14:paraId="21BC3D45" w14:textId="77777777" w:rsidR="00704C12" w:rsidRPr="00CD127A" w:rsidRDefault="00704C12" w:rsidP="00E53B29">
      <w:pPr>
        <w:pStyle w:val="BodyText"/>
      </w:pPr>
    </w:p>
    <w:p w14:paraId="4D873B8F" w14:textId="4E212976" w:rsidR="00704C12" w:rsidRPr="00CD127A" w:rsidRDefault="00704C12" w:rsidP="00E04076">
      <w:pPr>
        <w:pStyle w:val="BodyText"/>
        <w:numPr>
          <w:ilvl w:val="2"/>
          <w:numId w:val="16"/>
        </w:numPr>
        <w:ind w:left="1956" w:right="284" w:hanging="992"/>
      </w:pPr>
      <w:r w:rsidRPr="00CD127A">
        <w:lastRenderedPageBreak/>
        <w:t xml:space="preserve">to inform the Employment Business of any Calendar Weeks in which the relevant </w:t>
      </w:r>
      <w:r w:rsidR="00304D2E">
        <w:t>Agency Worker</w:t>
      </w:r>
      <w:r w:rsidRPr="00CD127A">
        <w:t xml:space="preserve"> has worked in the same or a similar role with the Client </w:t>
      </w:r>
      <w:r w:rsidR="00C34448">
        <w:t>through</w:t>
      </w:r>
      <w:r w:rsidR="00C34448" w:rsidRPr="00CD127A">
        <w:t xml:space="preserve"> </w:t>
      </w:r>
      <w:r w:rsidRPr="00CD127A">
        <w:t xml:space="preserve">any third party and which count or may count towards the Qualifying Period; </w:t>
      </w:r>
      <w:r w:rsidRPr="00CD127A">
        <w:rPr>
          <w:highlight w:val="lightGray"/>
        </w:rPr>
        <w:t>[</w:t>
      </w:r>
      <w:r w:rsidRPr="00CD127A">
        <w:rPr>
          <w:i/>
          <w:highlight w:val="lightGray"/>
        </w:rPr>
        <w:t>see Note 3</w:t>
      </w:r>
      <w:r w:rsidR="007F594F">
        <w:rPr>
          <w:i/>
          <w:highlight w:val="lightGray"/>
        </w:rPr>
        <w:t>4</w:t>
      </w:r>
      <w:r w:rsidRPr="00CD127A">
        <w:rPr>
          <w:highlight w:val="lightGray"/>
        </w:rPr>
        <w:t>]</w:t>
      </w:r>
      <w:r w:rsidRPr="00CD127A">
        <w:t xml:space="preserve"> </w:t>
      </w:r>
    </w:p>
    <w:p w14:paraId="5804BF54" w14:textId="77777777" w:rsidR="00704C12" w:rsidRPr="00CD127A" w:rsidRDefault="00704C12" w:rsidP="00E04076">
      <w:pPr>
        <w:pStyle w:val="BodyText"/>
        <w:ind w:left="1956" w:right="284" w:hanging="992"/>
      </w:pPr>
    </w:p>
    <w:p w14:paraId="492CE650" w14:textId="6940812F" w:rsidR="00704C12" w:rsidRPr="00CD127A" w:rsidRDefault="00704C12" w:rsidP="00E04076">
      <w:pPr>
        <w:pStyle w:val="BodyText"/>
        <w:numPr>
          <w:ilvl w:val="2"/>
          <w:numId w:val="16"/>
        </w:numPr>
        <w:ind w:left="1956" w:right="284" w:hanging="992"/>
      </w:pPr>
      <w:r w:rsidRPr="00CD127A">
        <w:t xml:space="preserve">if, the relevant </w:t>
      </w:r>
      <w:r w:rsidR="00304D2E">
        <w:t>Agency Worker</w:t>
      </w:r>
      <w:r w:rsidRPr="00CD127A">
        <w:t xml:space="preserve"> has worked in the same or a similar role with the Client via any third party</w:t>
      </w:r>
      <w:r w:rsidR="003B1DB2">
        <w:t>,</w:t>
      </w:r>
      <w:r w:rsidRPr="00CD127A">
        <w:t xml:space="preserve"> to provide the Employment Business with all the details of such work, including (without limitation) details of where, when and the period(s) during which such work was undertaken and any other details requested by the Employment Business; </w:t>
      </w:r>
      <w:r w:rsidRPr="00CD127A">
        <w:rPr>
          <w:highlight w:val="lightGray"/>
        </w:rPr>
        <w:t>[</w:t>
      </w:r>
      <w:r w:rsidRPr="00CD127A">
        <w:rPr>
          <w:i/>
          <w:highlight w:val="lightGray"/>
        </w:rPr>
        <w:t>see Note 3</w:t>
      </w:r>
      <w:r w:rsidR="007F594F">
        <w:rPr>
          <w:i/>
          <w:highlight w:val="lightGray"/>
        </w:rPr>
        <w:t>4</w:t>
      </w:r>
      <w:r w:rsidRPr="00CD127A">
        <w:rPr>
          <w:highlight w:val="lightGray"/>
        </w:rPr>
        <w:t>]</w:t>
      </w:r>
    </w:p>
    <w:p w14:paraId="5A8C5B02" w14:textId="77777777" w:rsidR="00704C12" w:rsidRPr="00CD127A" w:rsidRDefault="00704C12" w:rsidP="00E04076">
      <w:pPr>
        <w:pStyle w:val="BodyText"/>
        <w:ind w:left="1956" w:right="284" w:hanging="992"/>
      </w:pPr>
    </w:p>
    <w:p w14:paraId="558C54A9" w14:textId="7F86C1F2" w:rsidR="00704C12" w:rsidRPr="00CD127A" w:rsidRDefault="00704C12" w:rsidP="00E04076">
      <w:pPr>
        <w:pStyle w:val="BodyText"/>
        <w:numPr>
          <w:ilvl w:val="2"/>
          <w:numId w:val="16"/>
        </w:numPr>
        <w:ind w:left="1956" w:right="284" w:hanging="992"/>
      </w:pPr>
      <w:r w:rsidRPr="00CD127A">
        <w:t xml:space="preserve">to inform the Employment Business if, the relevant </w:t>
      </w:r>
      <w:r w:rsidR="00304D2E">
        <w:t>Agency Worker</w:t>
      </w:r>
      <w:r w:rsidRPr="00CD127A">
        <w:t xml:space="preserve"> has </w:t>
      </w:r>
      <w:r w:rsidR="003B1DB2">
        <w:t xml:space="preserve">before the start </w:t>
      </w:r>
      <w:r w:rsidRPr="00CD127A">
        <w:t>of the relevant Assignment and/or during the relevant Assignment</w:t>
      </w:r>
      <w:r w:rsidR="003B1DB2">
        <w:t>,</w:t>
      </w:r>
      <w:r w:rsidRPr="00CD127A">
        <w:t xml:space="preserve"> carried out work which could count toward the Qualifying Period for the relevant Assignment in accordance with Regulation 9 of the </w:t>
      </w:r>
      <w:proofErr w:type="spellStart"/>
      <w:r w:rsidRPr="00CD127A">
        <w:t>AWR</w:t>
      </w:r>
      <w:proofErr w:type="spellEnd"/>
      <w:r w:rsidRPr="00CD127A">
        <w:t xml:space="preserve"> because </w:t>
      </w:r>
      <w:r w:rsidR="0077543A">
        <w:t>they have</w:t>
      </w:r>
      <w:r w:rsidRPr="00CD127A">
        <w:t>:</w:t>
      </w:r>
    </w:p>
    <w:p w14:paraId="0398B7AE" w14:textId="77777777" w:rsidR="00704C12" w:rsidRPr="00CD127A" w:rsidRDefault="00704C12" w:rsidP="00E53B29">
      <w:pPr>
        <w:pStyle w:val="BodyText"/>
      </w:pPr>
    </w:p>
    <w:p w14:paraId="14CB515A" w14:textId="77777777" w:rsidR="00704C12" w:rsidRPr="00CD127A" w:rsidRDefault="00704C12" w:rsidP="00E04076">
      <w:pPr>
        <w:pStyle w:val="BodyText"/>
        <w:numPr>
          <w:ilvl w:val="3"/>
          <w:numId w:val="16"/>
        </w:numPr>
        <w:ind w:left="2977" w:right="567" w:hanging="992"/>
      </w:pPr>
      <w:r w:rsidRPr="00CD127A">
        <w:t>completed two or more assignments with the Client;</w:t>
      </w:r>
    </w:p>
    <w:p w14:paraId="56FC9394" w14:textId="77777777" w:rsidR="00704C12" w:rsidRPr="00CD127A" w:rsidRDefault="00704C12" w:rsidP="00E04076">
      <w:pPr>
        <w:pStyle w:val="BodyText"/>
        <w:ind w:left="2977" w:right="567" w:hanging="992"/>
      </w:pPr>
    </w:p>
    <w:p w14:paraId="32B68336" w14:textId="77777777" w:rsidR="00704C12" w:rsidRPr="00CD127A" w:rsidRDefault="00704C12" w:rsidP="00E04076">
      <w:pPr>
        <w:pStyle w:val="BodyText"/>
        <w:numPr>
          <w:ilvl w:val="3"/>
          <w:numId w:val="16"/>
        </w:numPr>
        <w:ind w:left="2977" w:right="567" w:hanging="992"/>
      </w:pPr>
      <w:r w:rsidRPr="00CD127A">
        <w:t>completed at least one assignment with the Client and one or more earlier assignments with any member of the Client’s Group; and/or</w:t>
      </w:r>
    </w:p>
    <w:p w14:paraId="1ED47E6B" w14:textId="77777777" w:rsidR="00704C12" w:rsidRPr="00CD127A" w:rsidRDefault="00704C12" w:rsidP="00E04076">
      <w:pPr>
        <w:pStyle w:val="BodyText"/>
        <w:ind w:left="2977" w:right="567" w:hanging="992"/>
      </w:pPr>
    </w:p>
    <w:p w14:paraId="59029381" w14:textId="77777777" w:rsidR="00704C12" w:rsidRPr="00CD127A" w:rsidRDefault="00704C12" w:rsidP="00E04076">
      <w:pPr>
        <w:pStyle w:val="BodyText"/>
        <w:numPr>
          <w:ilvl w:val="3"/>
          <w:numId w:val="16"/>
        </w:numPr>
        <w:ind w:left="2977" w:right="567" w:hanging="992"/>
      </w:pPr>
      <w:r w:rsidRPr="00CD127A">
        <w:t>worked in more than two roles during an assignment with the Client and on at least two occasions worked in a role that was not the same role as the previous role.</w:t>
      </w:r>
    </w:p>
    <w:p w14:paraId="52E1A463" w14:textId="77777777" w:rsidR="00704C12" w:rsidRPr="00CD127A" w:rsidRDefault="00704C12" w:rsidP="00E53B29">
      <w:pPr>
        <w:pStyle w:val="BodyText"/>
      </w:pPr>
    </w:p>
    <w:p w14:paraId="356C52B7" w14:textId="5EEA4907" w:rsidR="00704C12" w:rsidRPr="00CD127A" w:rsidRDefault="00704C12" w:rsidP="00E04076">
      <w:pPr>
        <w:pStyle w:val="BodyText"/>
        <w:numPr>
          <w:ilvl w:val="2"/>
          <w:numId w:val="16"/>
        </w:numPr>
        <w:ind w:left="1956" w:right="284" w:hanging="992"/>
      </w:pPr>
      <w:r w:rsidRPr="00CD127A">
        <w:rPr>
          <w:highlight w:val="lightGray"/>
        </w:rPr>
        <w:t>[</w:t>
      </w:r>
      <w:r w:rsidRPr="00CD127A">
        <w:rPr>
          <w:i/>
          <w:highlight w:val="lightGray"/>
        </w:rPr>
        <w:t>see Note 3</w:t>
      </w:r>
      <w:r w:rsidR="006162E8">
        <w:rPr>
          <w:i/>
          <w:highlight w:val="lightGray"/>
        </w:rPr>
        <w:t>5</w:t>
      </w:r>
      <w:r w:rsidRPr="00CD127A">
        <w:rPr>
          <w:highlight w:val="lightGray"/>
        </w:rPr>
        <w:t>]</w:t>
      </w:r>
      <w:r w:rsidRPr="00CD127A">
        <w:t xml:space="preserve"> except where the </w:t>
      </w:r>
      <w:r w:rsidR="00304D2E">
        <w:t>Agency Worker</w:t>
      </w:r>
      <w:r w:rsidRPr="00CD127A">
        <w:t xml:space="preserve"> will not complete the Qualifying Period during the term of the Assignment, to:</w:t>
      </w:r>
    </w:p>
    <w:p w14:paraId="17AE0DC6" w14:textId="77777777" w:rsidR="00704C12" w:rsidRPr="00CD127A" w:rsidRDefault="00704C12" w:rsidP="00E53B29">
      <w:pPr>
        <w:pStyle w:val="BodyText"/>
      </w:pPr>
    </w:p>
    <w:p w14:paraId="0B532FDD" w14:textId="3D60605D" w:rsidR="00704C12" w:rsidRPr="00CD127A" w:rsidRDefault="00704C12" w:rsidP="00E04076">
      <w:pPr>
        <w:pStyle w:val="BodyText"/>
        <w:numPr>
          <w:ilvl w:val="3"/>
          <w:numId w:val="16"/>
        </w:numPr>
        <w:ind w:left="2977" w:right="567" w:hanging="992"/>
      </w:pPr>
      <w:r w:rsidRPr="00CD127A">
        <w:t xml:space="preserve">provide the Employment Business with written details of the basic working and employment conditions the </w:t>
      </w:r>
      <w:r w:rsidR="00304D2E">
        <w:t>Agency Worker</w:t>
      </w:r>
      <w:r w:rsidRPr="00CD127A">
        <w:t xml:space="preserve"> would be entitled to for doing the same job if the </w:t>
      </w:r>
      <w:r w:rsidR="00304D2E">
        <w:t>Agency Worker</w:t>
      </w:r>
      <w:r w:rsidRPr="00CD127A">
        <w:t xml:space="preserve"> had been recruited directly by the Client as an employee or worker at the time the Qualifying Period commenced or with those of a Comparable Employee, such basic working and employment conditions being the Relevant Terms and Conditions;</w:t>
      </w:r>
    </w:p>
    <w:p w14:paraId="115FD6FA" w14:textId="77777777" w:rsidR="00704C12" w:rsidRPr="00CD127A" w:rsidRDefault="00704C12" w:rsidP="00E04076">
      <w:pPr>
        <w:pStyle w:val="BodyText"/>
        <w:ind w:left="2977" w:right="567" w:hanging="992"/>
      </w:pPr>
    </w:p>
    <w:p w14:paraId="24C6F64F" w14:textId="77777777" w:rsidR="00704C12" w:rsidRPr="00CD127A" w:rsidRDefault="00704C12" w:rsidP="00E04076">
      <w:pPr>
        <w:pStyle w:val="BodyText"/>
        <w:numPr>
          <w:ilvl w:val="3"/>
          <w:numId w:val="16"/>
        </w:numPr>
        <w:ind w:left="2977" w:right="567" w:hanging="992"/>
      </w:pPr>
      <w:r w:rsidRPr="00CD127A">
        <w:t>inform the Employment Business in writing whether the Relevant Terms and Conditions provided are those of a hypothetical directly recruited employee or worker or those of a Comparable Employee;</w:t>
      </w:r>
    </w:p>
    <w:p w14:paraId="7FE40518" w14:textId="77777777" w:rsidR="00704C12" w:rsidRPr="00F22976" w:rsidRDefault="00704C12" w:rsidP="00E04076">
      <w:pPr>
        <w:pStyle w:val="BodyText"/>
        <w:ind w:left="2977" w:right="567" w:hanging="992"/>
      </w:pPr>
    </w:p>
    <w:p w14:paraId="69A46619" w14:textId="77777777" w:rsidR="00704C12" w:rsidRPr="00CD127A" w:rsidRDefault="00704C12" w:rsidP="00E04076">
      <w:pPr>
        <w:pStyle w:val="BodyText"/>
        <w:numPr>
          <w:ilvl w:val="3"/>
          <w:numId w:val="16"/>
        </w:numPr>
        <w:ind w:left="2977" w:right="567" w:hanging="992"/>
      </w:pPr>
      <w:r w:rsidRPr="00CD127A">
        <w:t>if the Relevant Terms and Conditions provided are those of a Comparable Employee, provide the Employment Business with a written explanation of the basis on which the Client considers that the relevant individual is a Comparable Employee; and</w:t>
      </w:r>
    </w:p>
    <w:p w14:paraId="62EDBB00" w14:textId="77777777" w:rsidR="00704C12" w:rsidRPr="00F22976" w:rsidRDefault="00704C12" w:rsidP="00E04076">
      <w:pPr>
        <w:pStyle w:val="BodyText"/>
        <w:ind w:left="2977" w:right="567" w:hanging="992"/>
      </w:pPr>
    </w:p>
    <w:p w14:paraId="552BDABF" w14:textId="55ADD579" w:rsidR="00704C12" w:rsidRPr="00CD127A" w:rsidRDefault="00704C12" w:rsidP="00E04076">
      <w:pPr>
        <w:pStyle w:val="BodyText"/>
        <w:numPr>
          <w:ilvl w:val="3"/>
          <w:numId w:val="16"/>
        </w:numPr>
        <w:ind w:left="2977" w:right="567" w:hanging="992"/>
      </w:pPr>
      <w:r w:rsidRPr="00CD127A">
        <w:t xml:space="preserve">inform the Employment Business in writing of any </w:t>
      </w:r>
      <w:r w:rsidR="00BF38E7">
        <w:t xml:space="preserve">changes </w:t>
      </w:r>
      <w:r w:rsidR="0085427F">
        <w:t>to</w:t>
      </w:r>
      <w:r w:rsidRPr="00CD127A">
        <w:t xml:space="preserve"> the Relevant Terms and Conditions made at any time during </w:t>
      </w:r>
      <w:r w:rsidRPr="00CD127A">
        <w:lastRenderedPageBreak/>
        <w:t>the relevant Assignment after the Qualifying Period commenced; and</w:t>
      </w:r>
    </w:p>
    <w:p w14:paraId="0E73B2DF" w14:textId="77777777" w:rsidR="00704C12" w:rsidRPr="00CD127A" w:rsidRDefault="00704C12" w:rsidP="00E53B29">
      <w:pPr>
        <w:pStyle w:val="BodyText"/>
      </w:pPr>
    </w:p>
    <w:p w14:paraId="07A1D48E" w14:textId="1848CECE" w:rsidR="00704C12" w:rsidRPr="00CD127A" w:rsidRDefault="00704C12" w:rsidP="006C1E69">
      <w:pPr>
        <w:pStyle w:val="BodyText"/>
        <w:numPr>
          <w:ilvl w:val="2"/>
          <w:numId w:val="16"/>
        </w:numPr>
        <w:ind w:left="1956" w:right="284" w:hanging="992"/>
      </w:pPr>
      <w:bookmarkStart w:id="26" w:name="_Hlk50731329"/>
      <w:r w:rsidRPr="00CD127A">
        <w:t xml:space="preserve">except where the </w:t>
      </w:r>
      <w:r w:rsidR="00304D2E">
        <w:t>Agency Worker</w:t>
      </w:r>
      <w:r w:rsidRPr="00CD127A">
        <w:t xml:space="preserve"> will not complete the Qualifying Period during the term of the Assignment, to</w:t>
      </w:r>
      <w:r w:rsidR="00BF38E7">
        <w:t xml:space="preserve"> give</w:t>
      </w:r>
      <w:r w:rsidRPr="00CD127A">
        <w:t xml:space="preserve"> the Employment Business with written details of its pay and benefits structures and appraisal processes and any </w:t>
      </w:r>
      <w:r w:rsidR="00BF38E7">
        <w:t xml:space="preserve">changes to </w:t>
      </w:r>
      <w:r w:rsidRPr="00CD127A">
        <w:t xml:space="preserve"> the same</w:t>
      </w:r>
      <w:bookmarkEnd w:id="26"/>
      <w:r w:rsidRPr="00CD127A">
        <w:t>.</w:t>
      </w:r>
    </w:p>
    <w:p w14:paraId="66640042" w14:textId="77777777" w:rsidR="00704C12" w:rsidRPr="00CD127A" w:rsidRDefault="00704C12" w:rsidP="00E04076">
      <w:pPr>
        <w:pStyle w:val="BodyText"/>
        <w:ind w:left="1349" w:right="284" w:hanging="992"/>
      </w:pPr>
    </w:p>
    <w:p w14:paraId="256AD86B" w14:textId="5020685E" w:rsidR="00704C12" w:rsidRPr="00CD127A" w:rsidRDefault="00704C12" w:rsidP="006C1E69">
      <w:pPr>
        <w:pStyle w:val="BodyText"/>
        <w:numPr>
          <w:ilvl w:val="1"/>
          <w:numId w:val="16"/>
        </w:numPr>
        <w:ind w:left="924" w:right="284" w:hanging="567"/>
      </w:pPr>
      <w:r w:rsidRPr="00CD127A">
        <w:rPr>
          <w:highlight w:val="lightGray"/>
        </w:rPr>
        <w:t>[</w:t>
      </w:r>
      <w:r w:rsidRPr="00CD127A">
        <w:rPr>
          <w:i/>
          <w:highlight w:val="lightGray"/>
        </w:rPr>
        <w:t>see Note 3</w:t>
      </w:r>
      <w:r w:rsidR="006162E8">
        <w:rPr>
          <w:i/>
          <w:highlight w:val="lightGray"/>
        </w:rPr>
        <w:t>6</w:t>
      </w:r>
      <w:r w:rsidRPr="00CD127A">
        <w:rPr>
          <w:highlight w:val="lightGray"/>
        </w:rPr>
        <w:t>]</w:t>
      </w:r>
      <w:r w:rsidRPr="00CD127A">
        <w:t xml:space="preserve"> In addition, for the purpose of awarding any bonus </w:t>
      </w:r>
      <w:r w:rsidR="00AD6ABC">
        <w:t xml:space="preserve">that </w:t>
      </w:r>
      <w:r w:rsidRPr="00CD127A">
        <w:t xml:space="preserve"> the </w:t>
      </w:r>
      <w:r w:rsidR="00304D2E">
        <w:t>Agency Worker</w:t>
      </w:r>
      <w:r w:rsidRPr="00CD127A">
        <w:t xml:space="preserve"> may be entitled under the </w:t>
      </w:r>
      <w:proofErr w:type="spellStart"/>
      <w:r w:rsidRPr="00CD127A">
        <w:t>AWR</w:t>
      </w:r>
      <w:proofErr w:type="spellEnd"/>
      <w:r w:rsidRPr="00CD127A">
        <w:t>, the Client will:</w:t>
      </w:r>
    </w:p>
    <w:p w14:paraId="0EFD3EB1" w14:textId="77777777" w:rsidR="00704C12" w:rsidRPr="00685BDA" w:rsidRDefault="00704C12" w:rsidP="00E53B29">
      <w:pPr>
        <w:pStyle w:val="BodyText"/>
      </w:pPr>
    </w:p>
    <w:p w14:paraId="245ABA29" w14:textId="4CDB37EB" w:rsidR="00704C12" w:rsidRDefault="00AD6ABC" w:rsidP="006C1E69">
      <w:pPr>
        <w:pStyle w:val="BodyText"/>
        <w:numPr>
          <w:ilvl w:val="2"/>
          <w:numId w:val="16"/>
        </w:numPr>
        <w:ind w:left="1956" w:right="284" w:hanging="992"/>
      </w:pPr>
      <w:r>
        <w:t xml:space="preserve">include </w:t>
      </w:r>
      <w:r w:rsidR="00704C12" w:rsidRPr="00CD127A">
        <w:t xml:space="preserve">the </w:t>
      </w:r>
      <w:r w:rsidR="00304D2E">
        <w:t>Agency Worker</w:t>
      </w:r>
      <w:r w:rsidR="00704C12" w:rsidRPr="00CD127A">
        <w:t xml:space="preserve"> in</w:t>
      </w:r>
      <w:r w:rsidR="0085427F">
        <w:t xml:space="preserve"> </w:t>
      </w:r>
      <w:r w:rsidR="00704C12" w:rsidRPr="00CD127A">
        <w:t>its relevant performance appraisal system;</w:t>
      </w:r>
    </w:p>
    <w:p w14:paraId="42D024EF" w14:textId="77777777" w:rsidR="00FA400F" w:rsidRPr="00CD127A" w:rsidRDefault="00FA400F" w:rsidP="006C1E69">
      <w:pPr>
        <w:pStyle w:val="BodyText"/>
        <w:ind w:left="1956" w:right="284" w:hanging="992"/>
      </w:pPr>
    </w:p>
    <w:p w14:paraId="0A830553" w14:textId="4179AB38" w:rsidR="00704C12" w:rsidRPr="00CD127A" w:rsidRDefault="00704C12" w:rsidP="006C1E69">
      <w:pPr>
        <w:pStyle w:val="BodyText"/>
        <w:numPr>
          <w:ilvl w:val="2"/>
          <w:numId w:val="16"/>
        </w:numPr>
        <w:ind w:left="1956" w:right="284" w:hanging="992"/>
      </w:pPr>
      <w:r w:rsidRPr="00CD127A">
        <w:t xml:space="preserve">assess the </w:t>
      </w:r>
      <w:r w:rsidR="00304D2E">
        <w:t>Agency Worker</w:t>
      </w:r>
      <w:r w:rsidRPr="00CD127A">
        <w:t>’s performance;</w:t>
      </w:r>
    </w:p>
    <w:p w14:paraId="5F6FF347" w14:textId="77777777" w:rsidR="00704C12" w:rsidRPr="00CD127A" w:rsidRDefault="00704C12" w:rsidP="006C1E69">
      <w:pPr>
        <w:pStyle w:val="BodyText"/>
        <w:ind w:left="1956" w:right="284" w:hanging="992"/>
        <w:rPr>
          <w:sz w:val="22"/>
          <w:szCs w:val="22"/>
        </w:rPr>
      </w:pPr>
    </w:p>
    <w:p w14:paraId="64D4D87C" w14:textId="6EAB3E5E" w:rsidR="00704C12" w:rsidRPr="00CD127A" w:rsidRDefault="00AD6ABC" w:rsidP="006F2347">
      <w:pPr>
        <w:pStyle w:val="BodyText"/>
        <w:numPr>
          <w:ilvl w:val="2"/>
          <w:numId w:val="16"/>
        </w:numPr>
        <w:ind w:left="1956" w:right="284" w:hanging="992"/>
      </w:pPr>
      <w:r>
        <w:t xml:space="preserve">give </w:t>
      </w:r>
      <w:r w:rsidR="00704C12" w:rsidRPr="00CD127A">
        <w:t xml:space="preserve">the Employment Business  copies of all documentation relating to any appraisal of the </w:t>
      </w:r>
      <w:r w:rsidR="00304D2E">
        <w:t>Agency Worker</w:t>
      </w:r>
      <w:r w:rsidR="00704C12" w:rsidRPr="00CD127A">
        <w:t>, including without limitation written details of the outcome of any appraisal and the amount of any bonus awarded; and</w:t>
      </w:r>
    </w:p>
    <w:p w14:paraId="54820A40" w14:textId="77777777" w:rsidR="00704C12" w:rsidRPr="00CD127A" w:rsidRDefault="00704C12" w:rsidP="006C1E69">
      <w:pPr>
        <w:pStyle w:val="BodyText"/>
        <w:ind w:left="1956" w:right="284" w:hanging="992"/>
        <w:rPr>
          <w:sz w:val="22"/>
          <w:szCs w:val="22"/>
        </w:rPr>
      </w:pPr>
    </w:p>
    <w:p w14:paraId="1BD02719" w14:textId="2AC23F85" w:rsidR="00704C12" w:rsidRPr="00CD127A" w:rsidRDefault="00AD6ABC" w:rsidP="006C1E69">
      <w:pPr>
        <w:pStyle w:val="BodyText"/>
        <w:numPr>
          <w:ilvl w:val="2"/>
          <w:numId w:val="16"/>
        </w:numPr>
        <w:ind w:left="1956" w:right="284" w:hanging="992"/>
      </w:pPr>
      <w:bookmarkStart w:id="27" w:name="_Hlk50731563"/>
      <w:r>
        <w:t>giv</w:t>
      </w:r>
      <w:r w:rsidR="0085427F">
        <w:t>e</w:t>
      </w:r>
      <w:r w:rsidR="00704C12" w:rsidRPr="00CD127A">
        <w:t xml:space="preserve"> the Employment Business all other assistance </w:t>
      </w:r>
      <w:r w:rsidR="0085427F">
        <w:t>it</w:t>
      </w:r>
      <w:r w:rsidR="00704C12" w:rsidRPr="00CD127A">
        <w:t xml:space="preserve"> may req</w:t>
      </w:r>
      <w:r>
        <w:t>uire</w:t>
      </w:r>
      <w:r w:rsidR="00704C12" w:rsidRPr="00CD127A">
        <w:t xml:space="preserve"> </w:t>
      </w:r>
      <w:r>
        <w:t xml:space="preserve">for </w:t>
      </w:r>
      <w:r w:rsidR="00704C12" w:rsidRPr="00CD127A">
        <w:t xml:space="preserve"> the assessment of the </w:t>
      </w:r>
      <w:r w:rsidR="00304D2E">
        <w:t>Agency Worker</w:t>
      </w:r>
      <w:r w:rsidR="00704C12" w:rsidRPr="00CD127A">
        <w:t xml:space="preserve">’s performance </w:t>
      </w:r>
      <w:bookmarkEnd w:id="27"/>
      <w:r w:rsidR="00704C12" w:rsidRPr="00CD127A">
        <w:t>for the purpose of awarding any bonus.</w:t>
      </w:r>
    </w:p>
    <w:p w14:paraId="1B78A880" w14:textId="77777777" w:rsidR="00704C12" w:rsidRPr="00CD127A" w:rsidRDefault="00704C12" w:rsidP="00E53B29">
      <w:pPr>
        <w:pStyle w:val="BodyText"/>
      </w:pPr>
    </w:p>
    <w:p w14:paraId="7EE4F5BC" w14:textId="01AD2777" w:rsidR="00704C12" w:rsidRPr="00CD127A" w:rsidRDefault="00704C12" w:rsidP="00793F1D">
      <w:pPr>
        <w:pStyle w:val="BodyText"/>
        <w:numPr>
          <w:ilvl w:val="1"/>
          <w:numId w:val="16"/>
        </w:numPr>
        <w:ind w:left="924" w:right="284" w:hanging="567"/>
      </w:pPr>
      <w:r w:rsidRPr="00CD127A">
        <w:t>Without prejudice to clauses 14.</w:t>
      </w:r>
      <w:r w:rsidR="001109F3">
        <w:t>8 and</w:t>
      </w:r>
      <w:r w:rsidR="00F22976" w:rsidRPr="00CD127A">
        <w:t xml:space="preserve"> </w:t>
      </w:r>
      <w:r w:rsidRPr="00CD127A">
        <w:t>14.</w:t>
      </w:r>
      <w:r w:rsidR="00F22976">
        <w:t>9</w:t>
      </w:r>
      <w:r w:rsidRPr="00CD127A">
        <w:t>, the Client shall inform the Employment Business in writing of any:</w:t>
      </w:r>
    </w:p>
    <w:p w14:paraId="30B43930" w14:textId="77777777" w:rsidR="00704C12" w:rsidRPr="00CD127A" w:rsidRDefault="00704C12" w:rsidP="00E53B29">
      <w:pPr>
        <w:pStyle w:val="BodyText"/>
      </w:pPr>
    </w:p>
    <w:p w14:paraId="0D02C513" w14:textId="0552F547" w:rsidR="00704C12" w:rsidRPr="00CD127A" w:rsidRDefault="00704C12" w:rsidP="00793F1D">
      <w:pPr>
        <w:pStyle w:val="BodyText"/>
        <w:numPr>
          <w:ilvl w:val="2"/>
          <w:numId w:val="16"/>
        </w:numPr>
        <w:ind w:left="1956" w:hanging="992"/>
      </w:pPr>
      <w:r w:rsidRPr="00CD127A">
        <w:t xml:space="preserve">oral or written complaint the </w:t>
      </w:r>
      <w:r w:rsidR="00304D2E">
        <w:t>Agency Worker</w:t>
      </w:r>
      <w:r w:rsidRPr="00CD127A">
        <w:t xml:space="preserve"> makes to the Client which is or may be a complaint connected with rights under the </w:t>
      </w:r>
      <w:proofErr w:type="spellStart"/>
      <w:r w:rsidRPr="00CD127A">
        <w:t>AWR</w:t>
      </w:r>
      <w:proofErr w:type="spellEnd"/>
      <w:r w:rsidRPr="00CD127A">
        <w:t xml:space="preserve">; and </w:t>
      </w:r>
    </w:p>
    <w:p w14:paraId="3E4F2D30" w14:textId="77777777" w:rsidR="00704C12" w:rsidRPr="00CD127A" w:rsidRDefault="00704C12" w:rsidP="00793F1D">
      <w:pPr>
        <w:pStyle w:val="BodyText"/>
        <w:ind w:left="1956" w:hanging="992"/>
      </w:pPr>
    </w:p>
    <w:p w14:paraId="7E85689E" w14:textId="78EFC90C" w:rsidR="00704C12" w:rsidRPr="00CD127A" w:rsidRDefault="00704C12" w:rsidP="00793F1D">
      <w:pPr>
        <w:pStyle w:val="BodyText"/>
        <w:numPr>
          <w:ilvl w:val="2"/>
          <w:numId w:val="16"/>
        </w:numPr>
        <w:ind w:left="1956" w:hanging="992"/>
      </w:pPr>
      <w:r w:rsidRPr="00CD127A">
        <w:rPr>
          <w:highlight w:val="lightGray"/>
        </w:rPr>
        <w:t>[</w:t>
      </w:r>
      <w:r w:rsidRPr="00CD127A">
        <w:rPr>
          <w:i/>
          <w:highlight w:val="lightGray"/>
        </w:rPr>
        <w:t>see Note 3</w:t>
      </w:r>
      <w:r w:rsidR="006162E8">
        <w:rPr>
          <w:i/>
          <w:highlight w:val="lightGray"/>
        </w:rPr>
        <w:t>7</w:t>
      </w:r>
      <w:r w:rsidRPr="00CD127A">
        <w:rPr>
          <w:highlight w:val="lightGray"/>
        </w:rPr>
        <w:t>]</w:t>
      </w:r>
      <w:r w:rsidRPr="00CD127A">
        <w:t xml:space="preserve"> written request for information relating to the Relevant Terms and Conditions that the Client receives from the </w:t>
      </w:r>
      <w:r w:rsidR="00304D2E">
        <w:t>Agency Worker</w:t>
      </w:r>
    </w:p>
    <w:p w14:paraId="5F0B81F6" w14:textId="77777777" w:rsidR="00704C12" w:rsidRPr="00CD127A" w:rsidRDefault="00704C12" w:rsidP="00E53B29">
      <w:pPr>
        <w:pStyle w:val="BodyText"/>
        <w:rPr>
          <w:sz w:val="22"/>
          <w:szCs w:val="22"/>
        </w:rPr>
      </w:pPr>
    </w:p>
    <w:p w14:paraId="5785B147" w14:textId="79CCCFD6" w:rsidR="00704C12" w:rsidRPr="00CD127A" w:rsidRDefault="00704C12" w:rsidP="00793F1D">
      <w:pPr>
        <w:pStyle w:val="BodyText"/>
        <w:ind w:left="964"/>
      </w:pPr>
      <w:r w:rsidRPr="00CD127A">
        <w:t xml:space="preserve">as soon as possible but no later than </w:t>
      </w:r>
      <w:r w:rsidR="00802FF4">
        <w:t>seven</w:t>
      </w:r>
      <w:r w:rsidRPr="00CD127A">
        <w:t xml:space="preserve"> calendar days from the day </w:t>
      </w:r>
      <w:r w:rsidR="003B1DB2">
        <w:t xml:space="preserve">the Client receives </w:t>
      </w:r>
      <w:r w:rsidRPr="00CD127A">
        <w:t xml:space="preserve">any such oral </w:t>
      </w:r>
      <w:r w:rsidR="003B1DB2">
        <w:t xml:space="preserve">or written </w:t>
      </w:r>
      <w:r w:rsidRPr="00CD127A">
        <w:t>complaint</w:t>
      </w:r>
      <w:r w:rsidR="003B1DB2">
        <w:t>. T</w:t>
      </w:r>
      <w:r w:rsidRPr="00CD127A">
        <w:t xml:space="preserve">he Client undertakes to take such action and give such information and assistance as the Employment Business may request, and within any timeframe requested by the Employment Business, in order to resolve any complaint or to provide any such information in a written statement to the </w:t>
      </w:r>
      <w:r w:rsidR="00304D2E">
        <w:t>Agency Worker</w:t>
      </w:r>
      <w:r w:rsidRPr="00CD127A">
        <w:t xml:space="preserve"> within 28 days of the Client’s receipt of such a request in accordance with Regulation 16 of the </w:t>
      </w:r>
      <w:proofErr w:type="spellStart"/>
      <w:r w:rsidRPr="00CD127A">
        <w:t>AWR</w:t>
      </w:r>
      <w:proofErr w:type="spellEnd"/>
      <w:r w:rsidRPr="00CD127A">
        <w:t xml:space="preserve"> and the Client </w:t>
      </w:r>
      <w:bookmarkStart w:id="28" w:name="_Hlk50731774"/>
      <w:r w:rsidRPr="00CD127A">
        <w:t>will</w:t>
      </w:r>
      <w:r w:rsidR="00AD6ABC">
        <w:t xml:space="preserve"> give</w:t>
      </w:r>
      <w:r w:rsidRPr="00CD127A">
        <w:t xml:space="preserve"> the Employment Business a</w:t>
      </w:r>
      <w:bookmarkEnd w:id="28"/>
      <w:r w:rsidRPr="00CD127A">
        <w:t xml:space="preserve"> copy of any such written statement.</w:t>
      </w:r>
    </w:p>
    <w:p w14:paraId="3EEED4BF" w14:textId="77777777" w:rsidR="00704C12" w:rsidRPr="00CD127A" w:rsidRDefault="00704C12" w:rsidP="00E53B29">
      <w:pPr>
        <w:pStyle w:val="BodyText"/>
        <w:rPr>
          <w:sz w:val="22"/>
          <w:szCs w:val="22"/>
        </w:rPr>
      </w:pPr>
    </w:p>
    <w:p w14:paraId="6B648910" w14:textId="77777777" w:rsidR="00704C12" w:rsidRPr="00CD127A" w:rsidRDefault="00704C12" w:rsidP="00793F1D">
      <w:pPr>
        <w:pStyle w:val="BodyText"/>
        <w:numPr>
          <w:ilvl w:val="1"/>
          <w:numId w:val="16"/>
        </w:numPr>
        <w:ind w:left="924" w:right="284" w:hanging="567"/>
      </w:pPr>
      <w:r w:rsidRPr="00CD127A">
        <w:t xml:space="preserve">The Client will comply with all the Employment Business’s requests for information and any other requirements to enable the Employment Business to comply with the </w:t>
      </w:r>
      <w:proofErr w:type="spellStart"/>
      <w:r w:rsidRPr="00CD127A">
        <w:t>AWR</w:t>
      </w:r>
      <w:proofErr w:type="spellEnd"/>
      <w:r w:rsidRPr="00CD127A">
        <w:t>.</w:t>
      </w:r>
    </w:p>
    <w:p w14:paraId="0AEB1750" w14:textId="77777777" w:rsidR="00704C12" w:rsidRPr="00CD127A" w:rsidRDefault="00704C12" w:rsidP="00793F1D">
      <w:pPr>
        <w:pStyle w:val="BodyText"/>
        <w:ind w:left="924" w:right="284" w:hanging="567"/>
      </w:pPr>
    </w:p>
    <w:p w14:paraId="77EA0C22" w14:textId="77777777" w:rsidR="00704C12" w:rsidRPr="00CD127A" w:rsidRDefault="00704C12" w:rsidP="00793F1D">
      <w:pPr>
        <w:pStyle w:val="BodyText"/>
        <w:numPr>
          <w:ilvl w:val="1"/>
          <w:numId w:val="16"/>
        </w:numPr>
        <w:ind w:left="924" w:right="284" w:hanging="567"/>
      </w:pPr>
      <w:r w:rsidRPr="00CD127A">
        <w:t>The Client warrants that:</w:t>
      </w:r>
    </w:p>
    <w:p w14:paraId="68E07DC5" w14:textId="77777777" w:rsidR="00704C12" w:rsidRPr="00CD127A" w:rsidRDefault="00704C12" w:rsidP="00793F1D">
      <w:pPr>
        <w:pStyle w:val="BodyText"/>
        <w:ind w:left="924" w:right="284" w:hanging="567"/>
      </w:pPr>
    </w:p>
    <w:p w14:paraId="0745CD81" w14:textId="77777777" w:rsidR="00704C12" w:rsidRPr="00CD127A" w:rsidRDefault="00704C12" w:rsidP="00793F1D">
      <w:pPr>
        <w:pStyle w:val="BodyText"/>
        <w:numPr>
          <w:ilvl w:val="2"/>
          <w:numId w:val="16"/>
        </w:numPr>
        <w:tabs>
          <w:tab w:val="left" w:pos="1985"/>
        </w:tabs>
        <w:ind w:left="1956" w:right="284" w:hanging="992"/>
      </w:pPr>
      <w:r w:rsidRPr="00CD127A">
        <w:t>all information and documentation supplied to the Employment Business in accordance with this clause 3 is complete, accurate and up-to-date; and</w:t>
      </w:r>
    </w:p>
    <w:p w14:paraId="1BE986A9" w14:textId="77777777" w:rsidR="00704C12" w:rsidRPr="00CD127A" w:rsidRDefault="00704C12" w:rsidP="00793F1D">
      <w:pPr>
        <w:pStyle w:val="BodyText"/>
        <w:tabs>
          <w:tab w:val="left" w:pos="1985"/>
        </w:tabs>
        <w:ind w:left="1956" w:right="284" w:hanging="992"/>
      </w:pPr>
    </w:p>
    <w:p w14:paraId="6D18B36B" w14:textId="5DA5C6FE" w:rsidR="00704C12" w:rsidRPr="00CD127A" w:rsidRDefault="00704C12" w:rsidP="00793F1D">
      <w:pPr>
        <w:pStyle w:val="BodyText"/>
        <w:numPr>
          <w:ilvl w:val="2"/>
          <w:numId w:val="16"/>
        </w:numPr>
        <w:tabs>
          <w:tab w:val="left" w:pos="1985"/>
        </w:tabs>
        <w:ind w:left="1956" w:right="284" w:hanging="992"/>
      </w:pPr>
      <w:r w:rsidRPr="00CD127A">
        <w:t>it will, during the term of the relevant Assignment, immediately inform the Employment Business in writing of any subsequent change in any information or documentation provided in accordance with this clause 3.</w:t>
      </w:r>
    </w:p>
    <w:p w14:paraId="67A7F8B2" w14:textId="1B23E4F2" w:rsidR="00704C12" w:rsidRPr="00CD127A" w:rsidRDefault="00704C12" w:rsidP="00FE28C9">
      <w:pPr>
        <w:pStyle w:val="Heading3"/>
        <w:numPr>
          <w:ilvl w:val="0"/>
          <w:numId w:val="16"/>
        </w:numPr>
      </w:pPr>
      <w:r w:rsidRPr="00CD127A">
        <w:lastRenderedPageBreak/>
        <w:t xml:space="preserve">INFORMATION TO BE PROVIDED BY THE EMPLOYMENT BUSINESS </w:t>
      </w:r>
      <w:bookmarkEnd w:id="22"/>
      <w:r w:rsidR="00161019">
        <w:t>(</w:t>
      </w:r>
      <w:r w:rsidR="00161019" w:rsidRPr="00B759E6">
        <w:rPr>
          <w:b/>
          <w:bCs/>
          <w:color w:val="5974D4" w:themeColor="background1"/>
          <w:sz w:val="20"/>
          <w:szCs w:val="20"/>
        </w:rPr>
        <w:t xml:space="preserve">WHERE THE CONDUCT </w:t>
      </w:r>
      <w:proofErr w:type="spellStart"/>
      <w:r w:rsidR="00161019" w:rsidRPr="00B759E6">
        <w:rPr>
          <w:b/>
          <w:bCs/>
          <w:color w:val="5974D4" w:themeColor="background1"/>
          <w:sz w:val="20"/>
          <w:szCs w:val="20"/>
        </w:rPr>
        <w:t>REGULATONS</w:t>
      </w:r>
      <w:proofErr w:type="spellEnd"/>
      <w:r w:rsidR="00161019" w:rsidRPr="00B759E6">
        <w:rPr>
          <w:b/>
          <w:bCs/>
          <w:color w:val="5974D4" w:themeColor="background1"/>
          <w:sz w:val="20"/>
          <w:szCs w:val="20"/>
        </w:rPr>
        <w:t xml:space="preserve"> APPLY)</w:t>
      </w:r>
      <w:r w:rsidRPr="00CD127A">
        <w:t xml:space="preserve"> </w:t>
      </w:r>
    </w:p>
    <w:p w14:paraId="31FCA300" w14:textId="77777777" w:rsidR="00704C12" w:rsidRPr="00CD127A" w:rsidRDefault="00704C12" w:rsidP="00D30963">
      <w:pPr>
        <w:pStyle w:val="BodyText"/>
      </w:pPr>
    </w:p>
    <w:p w14:paraId="450B33BE" w14:textId="70B32C17" w:rsidR="002B0488" w:rsidRDefault="002B0488" w:rsidP="002B0488">
      <w:pPr>
        <w:pStyle w:val="Heading3"/>
        <w:numPr>
          <w:ilvl w:val="1"/>
          <w:numId w:val="16"/>
        </w:numPr>
        <w:spacing w:before="0"/>
        <w:ind w:left="788" w:hanging="431"/>
        <w:rPr>
          <w:color w:val="auto"/>
          <w:sz w:val="20"/>
          <w:szCs w:val="20"/>
        </w:rPr>
      </w:pPr>
      <w:bookmarkStart w:id="29" w:name="_Ref449367471"/>
      <w:r w:rsidRPr="004D0ECE">
        <w:rPr>
          <w:color w:val="auto"/>
          <w:sz w:val="20"/>
          <w:szCs w:val="20"/>
        </w:rPr>
        <w:t>When Introducing a</w:t>
      </w:r>
      <w:r>
        <w:rPr>
          <w:color w:val="auto"/>
          <w:sz w:val="20"/>
          <w:szCs w:val="20"/>
        </w:rPr>
        <w:t xml:space="preserve"> Temporary Resource</w:t>
      </w:r>
      <w:r w:rsidRPr="004D0ECE">
        <w:rPr>
          <w:color w:val="auto"/>
          <w:sz w:val="20"/>
          <w:szCs w:val="20"/>
        </w:rPr>
        <w:t xml:space="preserve"> to the </w:t>
      </w:r>
      <w:r>
        <w:rPr>
          <w:color w:val="auto"/>
          <w:sz w:val="20"/>
          <w:szCs w:val="20"/>
        </w:rPr>
        <w:t>Client</w:t>
      </w:r>
      <w:r w:rsidRPr="004D0ECE">
        <w:rPr>
          <w:color w:val="auto"/>
          <w:sz w:val="20"/>
          <w:szCs w:val="20"/>
        </w:rPr>
        <w:t xml:space="preserve"> the Employment Business shall inform the </w:t>
      </w:r>
      <w:r w:rsidR="00986248">
        <w:rPr>
          <w:color w:val="auto"/>
          <w:sz w:val="20"/>
          <w:szCs w:val="20"/>
        </w:rPr>
        <w:t>Client</w:t>
      </w:r>
      <w:r w:rsidRPr="004D0ECE">
        <w:rPr>
          <w:color w:val="auto"/>
          <w:sz w:val="20"/>
          <w:szCs w:val="20"/>
        </w:rPr>
        <w:t xml:space="preserve">: </w:t>
      </w:r>
      <w:r w:rsidRPr="004D0ECE">
        <w:rPr>
          <w:color w:val="auto"/>
          <w:sz w:val="20"/>
          <w:szCs w:val="20"/>
          <w:highlight w:val="lightGray"/>
        </w:rPr>
        <w:t>[</w:t>
      </w:r>
      <w:r w:rsidRPr="004D0ECE">
        <w:rPr>
          <w:i/>
          <w:color w:val="auto"/>
          <w:sz w:val="20"/>
          <w:szCs w:val="20"/>
          <w:highlight w:val="lightGray"/>
        </w:rPr>
        <w:t xml:space="preserve">see Note </w:t>
      </w:r>
      <w:r>
        <w:rPr>
          <w:i/>
          <w:color w:val="auto"/>
          <w:sz w:val="20"/>
          <w:szCs w:val="20"/>
          <w:highlight w:val="lightGray"/>
        </w:rPr>
        <w:t>3</w:t>
      </w:r>
      <w:r w:rsidR="006162E8">
        <w:rPr>
          <w:i/>
          <w:color w:val="auto"/>
          <w:sz w:val="20"/>
          <w:szCs w:val="20"/>
          <w:highlight w:val="lightGray"/>
        </w:rPr>
        <w:t>8</w:t>
      </w:r>
      <w:r w:rsidRPr="004D0ECE">
        <w:rPr>
          <w:color w:val="auto"/>
          <w:sz w:val="20"/>
          <w:szCs w:val="20"/>
          <w:highlight w:val="lightGray"/>
        </w:rPr>
        <w:t>]</w:t>
      </w:r>
      <w:bookmarkEnd w:id="29"/>
      <w:r w:rsidRPr="004D0ECE">
        <w:rPr>
          <w:color w:val="auto"/>
          <w:sz w:val="20"/>
          <w:szCs w:val="20"/>
        </w:rPr>
        <w:t xml:space="preserve"> </w:t>
      </w:r>
    </w:p>
    <w:p w14:paraId="59CCCE79" w14:textId="77777777" w:rsidR="002B0488" w:rsidRPr="004D0ECE" w:rsidRDefault="002B0488" w:rsidP="002B0488">
      <w:pPr>
        <w:pStyle w:val="BodyText"/>
      </w:pPr>
    </w:p>
    <w:p w14:paraId="2119D89E" w14:textId="77777777" w:rsidR="002B0488" w:rsidRPr="004D0ECE" w:rsidRDefault="002B0488" w:rsidP="002B0488">
      <w:pPr>
        <w:numPr>
          <w:ilvl w:val="2"/>
          <w:numId w:val="16"/>
        </w:numPr>
        <w:spacing w:after="0" w:line="240" w:lineRule="auto"/>
        <w:ind w:right="284"/>
        <w:rPr>
          <w:rFonts w:ascii="Lato" w:hAnsi="Lato"/>
          <w:b/>
          <w:sz w:val="20"/>
          <w:szCs w:val="20"/>
        </w:rPr>
      </w:pPr>
      <w:r w:rsidRPr="004D0ECE">
        <w:rPr>
          <w:rFonts w:ascii="Lato" w:hAnsi="Lato"/>
          <w:sz w:val="20"/>
          <w:szCs w:val="20"/>
        </w:rPr>
        <w:t xml:space="preserve">of the identity of the </w:t>
      </w:r>
      <w:r>
        <w:rPr>
          <w:rFonts w:ascii="Lato" w:hAnsi="Lato"/>
          <w:sz w:val="20"/>
          <w:szCs w:val="20"/>
        </w:rPr>
        <w:t>Temporary Resource</w:t>
      </w:r>
      <w:r w:rsidRPr="004D0ECE">
        <w:rPr>
          <w:rFonts w:ascii="Lato" w:hAnsi="Lato"/>
          <w:sz w:val="20"/>
          <w:szCs w:val="20"/>
        </w:rPr>
        <w:t xml:space="preserve">; </w:t>
      </w:r>
    </w:p>
    <w:p w14:paraId="7797E502" w14:textId="77777777" w:rsidR="002B0488" w:rsidRPr="004D0ECE" w:rsidRDefault="002B0488" w:rsidP="002B0488">
      <w:pPr>
        <w:spacing w:after="0" w:line="240" w:lineRule="auto"/>
        <w:ind w:left="1224" w:right="284"/>
        <w:rPr>
          <w:rFonts w:ascii="Lato" w:hAnsi="Lato"/>
          <w:b/>
          <w:sz w:val="20"/>
          <w:szCs w:val="20"/>
        </w:rPr>
      </w:pPr>
    </w:p>
    <w:p w14:paraId="19398619" w14:textId="77777777" w:rsidR="002B0488" w:rsidRPr="004D0ECE" w:rsidRDefault="002B0488" w:rsidP="002B0488">
      <w:pPr>
        <w:numPr>
          <w:ilvl w:val="2"/>
          <w:numId w:val="16"/>
        </w:numPr>
        <w:spacing w:after="0" w:line="240" w:lineRule="auto"/>
        <w:ind w:right="284"/>
        <w:rPr>
          <w:rFonts w:ascii="Lato" w:hAnsi="Lato"/>
          <w:b/>
          <w:sz w:val="20"/>
          <w:szCs w:val="20"/>
        </w:rPr>
      </w:pPr>
      <w:r w:rsidRPr="004D0ECE">
        <w:rPr>
          <w:rFonts w:ascii="Lato" w:hAnsi="Lato"/>
          <w:sz w:val="20"/>
          <w:szCs w:val="20"/>
        </w:rPr>
        <w:t xml:space="preserve">that the </w:t>
      </w:r>
      <w:r>
        <w:rPr>
          <w:rFonts w:ascii="Lato" w:hAnsi="Lato"/>
          <w:sz w:val="20"/>
          <w:szCs w:val="20"/>
        </w:rPr>
        <w:t xml:space="preserve">Temporary Resource </w:t>
      </w:r>
      <w:r w:rsidRPr="004D0ECE">
        <w:rPr>
          <w:rFonts w:ascii="Lato" w:hAnsi="Lato"/>
          <w:sz w:val="20"/>
          <w:szCs w:val="20"/>
        </w:rPr>
        <w:t xml:space="preserve">has the necessary or required experience, training, qualifications and any authorisation required by law or a professional body to work in the Assignment;  </w:t>
      </w:r>
    </w:p>
    <w:p w14:paraId="4EDA3709" w14:textId="77777777" w:rsidR="002B0488" w:rsidRDefault="002B0488" w:rsidP="002B0488">
      <w:pPr>
        <w:pStyle w:val="ListParagraph"/>
        <w:numPr>
          <w:ilvl w:val="0"/>
          <w:numId w:val="0"/>
        </w:numPr>
        <w:ind w:left="360"/>
        <w:rPr>
          <w:b/>
        </w:rPr>
      </w:pPr>
    </w:p>
    <w:p w14:paraId="247E38D3" w14:textId="77777777" w:rsidR="002B0488" w:rsidRPr="004D0ECE" w:rsidRDefault="002B0488" w:rsidP="002B0488">
      <w:pPr>
        <w:numPr>
          <w:ilvl w:val="2"/>
          <w:numId w:val="16"/>
        </w:numPr>
        <w:spacing w:after="0" w:line="240" w:lineRule="auto"/>
        <w:ind w:right="284"/>
        <w:rPr>
          <w:rFonts w:ascii="Lato" w:hAnsi="Lato"/>
          <w:b/>
          <w:sz w:val="20"/>
          <w:szCs w:val="20"/>
        </w:rPr>
      </w:pPr>
      <w:r w:rsidRPr="004D0ECE">
        <w:rPr>
          <w:rFonts w:ascii="Lato" w:hAnsi="Lato"/>
          <w:sz w:val="20"/>
          <w:szCs w:val="20"/>
        </w:rPr>
        <w:t xml:space="preserve">that the </w:t>
      </w:r>
      <w:r>
        <w:rPr>
          <w:rFonts w:ascii="Lato" w:hAnsi="Lato"/>
          <w:sz w:val="20"/>
          <w:szCs w:val="20"/>
        </w:rPr>
        <w:t xml:space="preserve">Temporary Resource </w:t>
      </w:r>
      <w:r w:rsidRPr="004D0ECE">
        <w:rPr>
          <w:rFonts w:ascii="Lato" w:hAnsi="Lato"/>
          <w:sz w:val="20"/>
          <w:szCs w:val="20"/>
        </w:rPr>
        <w:t>is willing to work in the Assignment; and</w:t>
      </w:r>
    </w:p>
    <w:p w14:paraId="1956C75A" w14:textId="77777777" w:rsidR="002B0488" w:rsidRDefault="002B0488" w:rsidP="002B0488">
      <w:pPr>
        <w:pStyle w:val="ListParagraph"/>
        <w:numPr>
          <w:ilvl w:val="0"/>
          <w:numId w:val="0"/>
        </w:numPr>
        <w:ind w:left="360"/>
        <w:rPr>
          <w:b/>
        </w:rPr>
      </w:pPr>
    </w:p>
    <w:p w14:paraId="312A9339" w14:textId="77777777" w:rsidR="002B0488" w:rsidRPr="004D0ECE" w:rsidRDefault="002B0488" w:rsidP="002B0488">
      <w:pPr>
        <w:numPr>
          <w:ilvl w:val="2"/>
          <w:numId w:val="16"/>
        </w:numPr>
        <w:spacing w:after="0" w:line="240" w:lineRule="auto"/>
        <w:ind w:right="284"/>
        <w:rPr>
          <w:rFonts w:ascii="Lato" w:hAnsi="Lato"/>
          <w:b/>
          <w:sz w:val="20"/>
          <w:szCs w:val="20"/>
        </w:rPr>
      </w:pPr>
      <w:r w:rsidRPr="004D0ECE">
        <w:rPr>
          <w:rFonts w:ascii="Lato" w:hAnsi="Lato"/>
          <w:sz w:val="20"/>
          <w:szCs w:val="20"/>
        </w:rPr>
        <w:t>of the Charges.</w:t>
      </w:r>
    </w:p>
    <w:p w14:paraId="495ECF24" w14:textId="77777777" w:rsidR="002B0488" w:rsidRPr="004D0ECE" w:rsidRDefault="002B0488" w:rsidP="002B0488">
      <w:pPr>
        <w:spacing w:after="0" w:line="240" w:lineRule="auto"/>
        <w:ind w:left="1224" w:right="284"/>
        <w:rPr>
          <w:rFonts w:ascii="Lato" w:hAnsi="Lato"/>
          <w:b/>
          <w:sz w:val="20"/>
          <w:szCs w:val="20"/>
        </w:rPr>
      </w:pPr>
    </w:p>
    <w:p w14:paraId="553D8553" w14:textId="71EE2B6F" w:rsidR="002B0488" w:rsidRPr="004D0ECE" w:rsidRDefault="002B0488" w:rsidP="002B0488">
      <w:pPr>
        <w:pStyle w:val="Heading3"/>
        <w:numPr>
          <w:ilvl w:val="1"/>
          <w:numId w:val="16"/>
        </w:numPr>
        <w:spacing w:before="0"/>
        <w:ind w:left="788" w:hanging="431"/>
        <w:rPr>
          <w:color w:val="auto"/>
          <w:sz w:val="20"/>
          <w:szCs w:val="20"/>
        </w:rPr>
      </w:pPr>
      <w:r w:rsidRPr="004D0ECE">
        <w:rPr>
          <w:color w:val="auto"/>
          <w:sz w:val="20"/>
          <w:szCs w:val="20"/>
        </w:rPr>
        <w:t xml:space="preserve">Where such information is not given in paper form or by electronic means it shall be confirmed by such means by the end of the third business day (excluding Saturday, Sunday and any Public or Bank Holiday) following, </w:t>
      </w:r>
      <w:r w:rsidR="00CA0EBA">
        <w:rPr>
          <w:color w:val="auto"/>
          <w:sz w:val="20"/>
          <w:szCs w:val="20"/>
        </w:rPr>
        <w:t>except</w:t>
      </w:r>
      <w:r w:rsidR="00CA0EBA" w:rsidRPr="004D0ECE">
        <w:rPr>
          <w:color w:val="auto"/>
          <w:sz w:val="20"/>
          <w:szCs w:val="20"/>
        </w:rPr>
        <w:t xml:space="preserve"> </w:t>
      </w:r>
      <w:r w:rsidRPr="004D0ECE">
        <w:rPr>
          <w:color w:val="auto"/>
          <w:sz w:val="20"/>
          <w:szCs w:val="20"/>
        </w:rPr>
        <w:t xml:space="preserve">where the </w:t>
      </w:r>
      <w:r>
        <w:rPr>
          <w:color w:val="auto"/>
          <w:sz w:val="20"/>
          <w:szCs w:val="20"/>
        </w:rPr>
        <w:t>Temporary Resource</w:t>
      </w:r>
      <w:r w:rsidRPr="004D0ECE">
        <w:rPr>
          <w:color w:val="auto"/>
          <w:sz w:val="20"/>
          <w:szCs w:val="20"/>
        </w:rPr>
        <w:t xml:space="preserve"> Worker is Introduced for an Assignment in the same position as one in which the </w:t>
      </w:r>
      <w:r>
        <w:rPr>
          <w:color w:val="auto"/>
          <w:sz w:val="20"/>
          <w:szCs w:val="20"/>
        </w:rPr>
        <w:t>Temporary Resource</w:t>
      </w:r>
      <w:r w:rsidRPr="004D0ECE">
        <w:rPr>
          <w:color w:val="auto"/>
          <w:sz w:val="20"/>
          <w:szCs w:val="20"/>
        </w:rPr>
        <w:t xml:space="preserve"> had previously been supplied within the previous 5 business days and </w:t>
      </w:r>
      <w:r w:rsidR="000E524C">
        <w:rPr>
          <w:color w:val="auto"/>
          <w:sz w:val="20"/>
          <w:szCs w:val="20"/>
        </w:rPr>
        <w:t xml:space="preserve">the </w:t>
      </w:r>
      <w:r w:rsidRPr="004D0ECE">
        <w:rPr>
          <w:color w:val="auto"/>
          <w:sz w:val="20"/>
          <w:szCs w:val="20"/>
        </w:rPr>
        <w:t xml:space="preserve"> information has already been given to the </w:t>
      </w:r>
      <w:r>
        <w:rPr>
          <w:color w:val="auto"/>
          <w:sz w:val="20"/>
          <w:szCs w:val="20"/>
        </w:rPr>
        <w:t>Client</w:t>
      </w:r>
      <w:r w:rsidRPr="004D0ECE">
        <w:rPr>
          <w:color w:val="auto"/>
          <w:sz w:val="20"/>
          <w:szCs w:val="20"/>
        </w:rPr>
        <w:t xml:space="preserve">, unless the </w:t>
      </w:r>
      <w:r w:rsidR="00986248">
        <w:rPr>
          <w:color w:val="auto"/>
          <w:sz w:val="20"/>
          <w:szCs w:val="20"/>
        </w:rPr>
        <w:t>Client</w:t>
      </w:r>
      <w:r w:rsidRPr="004D0ECE">
        <w:rPr>
          <w:color w:val="auto"/>
          <w:sz w:val="20"/>
          <w:szCs w:val="20"/>
        </w:rPr>
        <w:t xml:space="preserve"> requests that the information be resubmitted. </w:t>
      </w:r>
    </w:p>
    <w:p w14:paraId="55736C18" w14:textId="77777777" w:rsidR="00FA400F" w:rsidRPr="00CD127A" w:rsidRDefault="00FA400F" w:rsidP="00D30963">
      <w:pPr>
        <w:pStyle w:val="BodyText"/>
      </w:pPr>
    </w:p>
    <w:p w14:paraId="2226E84A" w14:textId="77777777" w:rsidR="00704C12" w:rsidRPr="00CD127A" w:rsidRDefault="00704C12" w:rsidP="00FA400F">
      <w:pPr>
        <w:pStyle w:val="Heading3"/>
        <w:numPr>
          <w:ilvl w:val="0"/>
          <w:numId w:val="16"/>
        </w:numPr>
        <w:spacing w:before="0"/>
      </w:pPr>
      <w:r w:rsidRPr="00CD127A">
        <w:t xml:space="preserve">CONFIRMATION OF DELIVERY OF </w:t>
      </w:r>
      <w:r>
        <w:t xml:space="preserve">THE ASSIGNMENT </w:t>
      </w:r>
      <w:r w:rsidRPr="00CD127A">
        <w:t xml:space="preserve">SERVICES </w:t>
      </w:r>
    </w:p>
    <w:p w14:paraId="7F2994E1" w14:textId="77777777" w:rsidR="00B56E8D" w:rsidRDefault="00B56E8D" w:rsidP="00FA400F">
      <w:pPr>
        <w:keepNext/>
        <w:tabs>
          <w:tab w:val="left" w:pos="4678"/>
        </w:tabs>
        <w:spacing w:after="0" w:line="240" w:lineRule="auto"/>
        <w:ind w:right="284"/>
        <w:rPr>
          <w:rFonts w:ascii="Lato" w:hAnsi="Lato"/>
        </w:rPr>
      </w:pPr>
      <w:bookmarkStart w:id="30" w:name="_Ref480443482"/>
    </w:p>
    <w:p w14:paraId="757F2B6F" w14:textId="77777777" w:rsidR="009D2003" w:rsidRPr="00E2498B" w:rsidRDefault="009D2003" w:rsidP="009D2003">
      <w:pPr>
        <w:pStyle w:val="BodyText"/>
        <w:numPr>
          <w:ilvl w:val="1"/>
          <w:numId w:val="16"/>
        </w:numPr>
        <w:ind w:left="924" w:right="284" w:hanging="567"/>
        <w:rPr>
          <w:b/>
        </w:rPr>
      </w:pPr>
      <w:r>
        <w:t>Where the Charges are:</w:t>
      </w:r>
    </w:p>
    <w:p w14:paraId="2AB22727" w14:textId="77777777" w:rsidR="009D2003" w:rsidRPr="00E2498B" w:rsidRDefault="009D2003" w:rsidP="009D2003">
      <w:pPr>
        <w:pStyle w:val="BodyText"/>
        <w:ind w:left="924" w:right="284"/>
        <w:rPr>
          <w:b/>
        </w:rPr>
      </w:pPr>
    </w:p>
    <w:p w14:paraId="0F94D751" w14:textId="085FD6F4" w:rsidR="009D2003" w:rsidRPr="00E2498B" w:rsidRDefault="009D2003" w:rsidP="009D2003">
      <w:pPr>
        <w:pStyle w:val="BodyText"/>
        <w:numPr>
          <w:ilvl w:val="2"/>
          <w:numId w:val="16"/>
        </w:numPr>
        <w:ind w:left="1899" w:right="284" w:hanging="992"/>
        <w:rPr>
          <w:b/>
        </w:rPr>
      </w:pPr>
      <w:r>
        <w:t xml:space="preserve">based </w:t>
      </w:r>
      <w:r w:rsidRPr="00D30963">
        <w:t>on time worked by a Temporary Resource</w:t>
      </w:r>
      <w:r>
        <w:t>, a</w:t>
      </w:r>
      <w:r w:rsidRPr="00D30963">
        <w:t xml:space="preserve">t the end of each </w:t>
      </w:r>
      <w:r w:rsidRPr="00D30963">
        <w:rPr>
          <w:highlight w:val="lightGray"/>
        </w:rPr>
        <w:t>[week/month]</w:t>
      </w:r>
      <w:r w:rsidRPr="00D30963">
        <w:t xml:space="preserve"> of the Assignment (or at the end of the Assignment where the Assignment is for a period of less than </w:t>
      </w:r>
      <w:r>
        <w:t>one</w:t>
      </w:r>
      <w:r w:rsidRPr="00D30963">
        <w:t xml:space="preserve"> </w:t>
      </w:r>
      <w:r w:rsidRPr="00D30963">
        <w:rPr>
          <w:highlight w:val="lightGray"/>
        </w:rPr>
        <w:t>[week/month]</w:t>
      </w:r>
      <w:r w:rsidRPr="00D30963">
        <w:t xml:space="preserve"> or is completed or finished before the end of a </w:t>
      </w:r>
      <w:r w:rsidRPr="00D30963">
        <w:rPr>
          <w:highlight w:val="lightGray"/>
        </w:rPr>
        <w:t>[week/month]</w:t>
      </w:r>
      <w:r w:rsidRPr="00D30963">
        <w:t>)</w:t>
      </w:r>
      <w:r>
        <w:t xml:space="preserve"> the Client shall sign the Employment Business's timesheet confirming the number of hours worked by a Temporary Resource worked during the </w:t>
      </w:r>
      <w:r w:rsidR="00593E64">
        <w:t xml:space="preserve">previous </w:t>
      </w:r>
      <w:r w:rsidRPr="00E2498B">
        <w:rPr>
          <w:highlight w:val="lightGray"/>
        </w:rPr>
        <w:t>[week/ month]</w:t>
      </w:r>
      <w:r>
        <w:t xml:space="preserve">.  </w:t>
      </w:r>
      <w:r w:rsidRPr="00D30963">
        <w:t xml:space="preserve">  </w:t>
      </w:r>
    </w:p>
    <w:p w14:paraId="5C14F13A" w14:textId="77777777" w:rsidR="009D2003" w:rsidRPr="00E2498B" w:rsidRDefault="009D2003" w:rsidP="009D2003">
      <w:pPr>
        <w:pStyle w:val="BodyText"/>
        <w:ind w:left="1224" w:right="284"/>
        <w:rPr>
          <w:b/>
        </w:rPr>
      </w:pPr>
    </w:p>
    <w:p w14:paraId="2A771DC1" w14:textId="66C8EFC8" w:rsidR="009D2003" w:rsidRPr="00D30963" w:rsidRDefault="009D2003" w:rsidP="009D2003">
      <w:pPr>
        <w:pStyle w:val="BodyText"/>
        <w:numPr>
          <w:ilvl w:val="2"/>
          <w:numId w:val="16"/>
        </w:numPr>
        <w:ind w:left="1956" w:right="284" w:hanging="992"/>
        <w:rPr>
          <w:b/>
        </w:rPr>
      </w:pPr>
      <w:r w:rsidRPr="00D30963">
        <w:t xml:space="preserve">not based on time worked by a Temporary Resource, the Client shall otherwise confirm in writing the delivery of the Assignment Services or the delivery of a Specified Deliverable (as set out in the relevant Assignment Details Form). </w:t>
      </w:r>
      <w:r w:rsidRPr="00D30963">
        <w:rPr>
          <w:highlight w:val="lightGray"/>
        </w:rPr>
        <w:t>[</w:t>
      </w:r>
      <w:r w:rsidRPr="00D30963">
        <w:rPr>
          <w:i/>
          <w:highlight w:val="lightGray"/>
        </w:rPr>
        <w:t xml:space="preserve">see Note </w:t>
      </w:r>
      <w:r>
        <w:rPr>
          <w:i/>
          <w:highlight w:val="lightGray"/>
        </w:rPr>
        <w:t>3</w:t>
      </w:r>
      <w:r w:rsidR="006162E8">
        <w:rPr>
          <w:i/>
          <w:highlight w:val="lightGray"/>
        </w:rPr>
        <w:t>9</w:t>
      </w:r>
      <w:r w:rsidRPr="00D30963">
        <w:rPr>
          <w:highlight w:val="lightGray"/>
        </w:rPr>
        <w:t>]</w:t>
      </w:r>
    </w:p>
    <w:p w14:paraId="36BD4D3B" w14:textId="77777777" w:rsidR="009D2003" w:rsidRPr="00CD127A" w:rsidRDefault="009D2003" w:rsidP="009D2003">
      <w:pPr>
        <w:pStyle w:val="BodyText"/>
        <w:ind w:left="924" w:right="284" w:hanging="567"/>
        <w:rPr>
          <w:b/>
        </w:rPr>
      </w:pPr>
    </w:p>
    <w:p w14:paraId="69BF845F" w14:textId="1E35540C" w:rsidR="00704C12" w:rsidRPr="00B96D36" w:rsidRDefault="00704C12" w:rsidP="007311D3">
      <w:pPr>
        <w:pStyle w:val="BodyText"/>
        <w:numPr>
          <w:ilvl w:val="1"/>
          <w:numId w:val="16"/>
        </w:numPr>
        <w:ind w:left="924" w:right="284" w:hanging="567"/>
        <w:rPr>
          <w:b/>
        </w:rPr>
      </w:pPr>
      <w:bookmarkStart w:id="31" w:name="_Ref487020554"/>
      <w:bookmarkEnd w:id="30"/>
      <w:r w:rsidRPr="00B96D36">
        <w:t>The Client agrees that by confirming delivery of the Assignment Services it also agrees that the Assignment Services have been provided satisfactorily</w:t>
      </w:r>
      <w:r w:rsidR="00E72078">
        <w:t>,</w:t>
      </w:r>
      <w:r w:rsidRPr="00B96D36">
        <w:t xml:space="preserve"> </w:t>
      </w:r>
      <w:r w:rsidR="00F9218F" w:rsidRPr="00B96D36">
        <w:t>or the Specified Deliverables have been delivered</w:t>
      </w:r>
      <w:r w:rsidR="00E72078">
        <w:t>,</w:t>
      </w:r>
      <w:r w:rsidR="00F9218F" w:rsidRPr="00B96D36">
        <w:t xml:space="preserve"> </w:t>
      </w:r>
      <w:r w:rsidRPr="00B96D36">
        <w:t xml:space="preserve">and in accordance with this Agreement. </w:t>
      </w:r>
      <w:r w:rsidR="007E50B5" w:rsidRPr="00B96D36">
        <w:rPr>
          <w:b/>
        </w:rPr>
        <w:t xml:space="preserve">The Client acknowledges that even if it does not sign a timesheet or confirm hours worked or services provided, it must still pay the Charges for hours worked or </w:t>
      </w:r>
      <w:r w:rsidR="00CA0EBA">
        <w:rPr>
          <w:b/>
        </w:rPr>
        <w:t xml:space="preserve">for </w:t>
      </w:r>
      <w:r w:rsidR="007E50B5" w:rsidRPr="00B96D36">
        <w:rPr>
          <w:b/>
        </w:rPr>
        <w:t xml:space="preserve">the Assignment Services delivered. </w:t>
      </w:r>
      <w:r w:rsidRPr="00B96D36">
        <w:t xml:space="preserve">If the Client: </w:t>
      </w:r>
    </w:p>
    <w:p w14:paraId="7346276C" w14:textId="77777777" w:rsidR="00704C12" w:rsidRPr="00CD127A" w:rsidRDefault="00704C12" w:rsidP="00B56E8D">
      <w:pPr>
        <w:pStyle w:val="BodyText"/>
      </w:pPr>
    </w:p>
    <w:p w14:paraId="65633E30" w14:textId="56796AE4" w:rsidR="00704C12" w:rsidRPr="00CD127A" w:rsidRDefault="00704C12" w:rsidP="007311D3">
      <w:pPr>
        <w:pStyle w:val="BodyText"/>
        <w:numPr>
          <w:ilvl w:val="2"/>
          <w:numId w:val="16"/>
        </w:numPr>
        <w:ind w:left="1956" w:right="284" w:hanging="992"/>
        <w:rPr>
          <w:b/>
        </w:rPr>
      </w:pPr>
      <w:r w:rsidRPr="006162E8">
        <w:t>is dissatisfied with the work performed by a Temporary Resource</w:t>
      </w:r>
      <w:r w:rsidR="00F9218F" w:rsidRPr="006162E8">
        <w:t>, or</w:t>
      </w:r>
      <w:r w:rsidR="00F9218F">
        <w:t xml:space="preserve"> considers that the Specified Deliverables have not been delivered,</w:t>
      </w:r>
      <w:r w:rsidRPr="00CD127A">
        <w:t xml:space="preserve"> the provisions of clauses 9 </w:t>
      </w:r>
      <w:r w:rsidR="009A6D9D">
        <w:t xml:space="preserve">(Unsuitability of a Temporary Resource) </w:t>
      </w:r>
      <w:r w:rsidRPr="00CD127A">
        <w:t>and 11.2</w:t>
      </w:r>
      <w:r w:rsidR="009A6D9D">
        <w:t xml:space="preserve"> (Termination of an Assignment)</w:t>
      </w:r>
      <w:r w:rsidRPr="00CD127A">
        <w:t xml:space="preserve"> shall apply; </w:t>
      </w:r>
      <w:bookmarkEnd w:id="31"/>
    </w:p>
    <w:p w14:paraId="2B559D44" w14:textId="77777777" w:rsidR="00704C12" w:rsidRPr="00CD127A" w:rsidRDefault="00704C12" w:rsidP="007311D3">
      <w:pPr>
        <w:pStyle w:val="BodyText"/>
        <w:ind w:left="1956" w:right="284" w:hanging="992"/>
        <w:rPr>
          <w:b/>
        </w:rPr>
      </w:pPr>
    </w:p>
    <w:p w14:paraId="298FAA6E" w14:textId="1B51CD12" w:rsidR="00704C12" w:rsidRPr="006C2293" w:rsidRDefault="00704C12" w:rsidP="007311D3">
      <w:pPr>
        <w:pStyle w:val="BodyText"/>
        <w:numPr>
          <w:ilvl w:val="2"/>
          <w:numId w:val="16"/>
        </w:numPr>
        <w:ind w:left="1956" w:right="284" w:hanging="992"/>
        <w:rPr>
          <w:b/>
        </w:rPr>
      </w:pPr>
      <w:r w:rsidRPr="00CD127A">
        <w:lastRenderedPageBreak/>
        <w:t>disputes the time worked</w:t>
      </w:r>
      <w:r>
        <w:t xml:space="preserve"> by a Temporary Resource</w:t>
      </w:r>
      <w:r w:rsidRPr="00CD127A">
        <w:t xml:space="preserve">, the Client shall co-operate fully and as quickly as possible with the Employment Business to enable the Employment Business to establish what time, if any, were worked by the </w:t>
      </w:r>
      <w:r>
        <w:t xml:space="preserve">relevant </w:t>
      </w:r>
      <w:r w:rsidRPr="00CD127A">
        <w:t xml:space="preserve">Temporary Resource. </w:t>
      </w:r>
    </w:p>
    <w:p w14:paraId="576F68C4" w14:textId="429A0070" w:rsidR="00704C12" w:rsidRPr="00CD127A" w:rsidRDefault="00704C12" w:rsidP="00FE28C9">
      <w:pPr>
        <w:pStyle w:val="Heading3"/>
        <w:numPr>
          <w:ilvl w:val="0"/>
          <w:numId w:val="16"/>
        </w:numPr>
      </w:pPr>
      <w:bookmarkStart w:id="32" w:name="_Ref480444087"/>
      <w:r w:rsidRPr="00CD127A">
        <w:t>CHARGES</w:t>
      </w:r>
      <w:bookmarkEnd w:id="32"/>
    </w:p>
    <w:p w14:paraId="681300E4" w14:textId="77777777" w:rsidR="00704C12" w:rsidRPr="0067312F" w:rsidRDefault="00704C12" w:rsidP="00FE1620">
      <w:pPr>
        <w:spacing w:after="0" w:line="240" w:lineRule="auto"/>
        <w:ind w:left="360" w:right="284"/>
        <w:rPr>
          <w:rFonts w:ascii="Lato" w:hAnsi="Lato"/>
          <w:b/>
        </w:rPr>
      </w:pPr>
    </w:p>
    <w:p w14:paraId="3C1614ED" w14:textId="540D42F3" w:rsidR="00704C12" w:rsidRPr="006C2293" w:rsidRDefault="00704C12" w:rsidP="007311D3">
      <w:pPr>
        <w:pStyle w:val="ListParagraph"/>
        <w:numPr>
          <w:ilvl w:val="1"/>
          <w:numId w:val="16"/>
        </w:numPr>
        <w:ind w:left="924" w:right="284" w:hanging="567"/>
        <w:rPr>
          <w:b/>
        </w:rPr>
      </w:pPr>
      <w:bookmarkStart w:id="33" w:name="_Ref487020566"/>
      <w:r w:rsidRPr="006C2293">
        <w:t xml:space="preserve">The Charges are calculated as shown in Schedule 1. The Client agrees to pay the Charges. </w:t>
      </w:r>
      <w:r w:rsidRPr="006C2293">
        <w:rPr>
          <w:highlight w:val="lightGray"/>
        </w:rPr>
        <w:t>[</w:t>
      </w:r>
      <w:r w:rsidRPr="006C2293">
        <w:rPr>
          <w:i/>
          <w:highlight w:val="lightGray"/>
        </w:rPr>
        <w:t xml:space="preserve">see Note </w:t>
      </w:r>
      <w:r w:rsidR="006162E8">
        <w:rPr>
          <w:i/>
          <w:highlight w:val="lightGray"/>
        </w:rPr>
        <w:t>40</w:t>
      </w:r>
      <w:r w:rsidRPr="006C2293">
        <w:rPr>
          <w:highlight w:val="lightGray"/>
        </w:rPr>
        <w:t>]</w:t>
      </w:r>
      <w:bookmarkEnd w:id="33"/>
      <w:r w:rsidRPr="006C2293">
        <w:t xml:space="preserve"> VAT is payable at the applicable rate on the entirety of the Charges. </w:t>
      </w:r>
      <w:r w:rsidRPr="006C2293">
        <w:rPr>
          <w:highlight w:val="lightGray"/>
        </w:rPr>
        <w:t>[</w:t>
      </w:r>
      <w:r w:rsidRPr="006C2293">
        <w:rPr>
          <w:i/>
          <w:highlight w:val="lightGray"/>
        </w:rPr>
        <w:t xml:space="preserve">see Note </w:t>
      </w:r>
      <w:r w:rsidR="006162E8">
        <w:rPr>
          <w:i/>
          <w:highlight w:val="lightGray"/>
        </w:rPr>
        <w:t>41</w:t>
      </w:r>
      <w:r w:rsidRPr="006C2293">
        <w:rPr>
          <w:highlight w:val="lightGray"/>
        </w:rPr>
        <w:t>]</w:t>
      </w:r>
    </w:p>
    <w:p w14:paraId="362DA9BB" w14:textId="77777777" w:rsidR="00704C12" w:rsidRPr="00FE1620" w:rsidRDefault="00704C12" w:rsidP="007311D3">
      <w:pPr>
        <w:tabs>
          <w:tab w:val="left" w:pos="561"/>
        </w:tabs>
        <w:spacing w:after="0" w:line="240" w:lineRule="auto"/>
        <w:ind w:left="924" w:right="284" w:hanging="567"/>
        <w:rPr>
          <w:rFonts w:ascii="Lato" w:hAnsi="Lato"/>
        </w:rPr>
      </w:pPr>
      <w:r w:rsidRPr="00FE1620">
        <w:rPr>
          <w:rFonts w:ascii="Lato" w:hAnsi="Lato"/>
          <w:b/>
        </w:rPr>
        <w:tab/>
      </w:r>
      <w:bookmarkStart w:id="34" w:name="_Ref480444012"/>
    </w:p>
    <w:p w14:paraId="62D37D71" w14:textId="552795B2" w:rsidR="006C2293" w:rsidRPr="00AB2E54" w:rsidRDefault="00704C12" w:rsidP="007311D3">
      <w:pPr>
        <w:pStyle w:val="ListParagraph"/>
        <w:numPr>
          <w:ilvl w:val="1"/>
          <w:numId w:val="16"/>
        </w:numPr>
        <w:tabs>
          <w:tab w:val="left" w:pos="561"/>
        </w:tabs>
        <w:ind w:left="924" w:right="284" w:hanging="567"/>
        <w:rPr>
          <w:b/>
        </w:rPr>
      </w:pPr>
      <w:r w:rsidRPr="006C2293">
        <w:t xml:space="preserve">The Employment Business reserves the right to vary the Charges agreed with the Client, by giving written notice to the Client: </w:t>
      </w:r>
    </w:p>
    <w:p w14:paraId="6AA6BE34" w14:textId="77777777" w:rsidR="00AB2E54" w:rsidRPr="00AB2E54" w:rsidRDefault="00AB2E54" w:rsidP="00AB2E54">
      <w:pPr>
        <w:pStyle w:val="ListParagraph"/>
        <w:numPr>
          <w:ilvl w:val="0"/>
          <w:numId w:val="0"/>
        </w:numPr>
        <w:ind w:left="1440"/>
        <w:rPr>
          <w:b/>
        </w:rPr>
      </w:pPr>
    </w:p>
    <w:p w14:paraId="26532D8B" w14:textId="5459BDBD" w:rsidR="006C2293" w:rsidRDefault="00704C12" w:rsidP="007311D3">
      <w:pPr>
        <w:pStyle w:val="BodyText"/>
        <w:numPr>
          <w:ilvl w:val="2"/>
          <w:numId w:val="16"/>
        </w:numPr>
        <w:ind w:left="1956" w:right="284" w:hanging="992"/>
      </w:pPr>
      <w:r w:rsidRPr="006C2293">
        <w:t xml:space="preserve">in order to comply with any additional liability imposed by statute or other legal requirement or entitlement, including but not limited to </w:t>
      </w:r>
      <w:r w:rsidR="009A6D9D" w:rsidRPr="006C2293">
        <w:t xml:space="preserve">the Apprenticeship Levy, </w:t>
      </w:r>
      <w:proofErr w:type="spellStart"/>
      <w:r w:rsidR="009A6D9D" w:rsidRPr="006C2293">
        <w:t>AWR</w:t>
      </w:r>
      <w:proofErr w:type="spellEnd"/>
      <w:r w:rsidR="009A6D9D" w:rsidRPr="006C2293">
        <w:t xml:space="preserve">, </w:t>
      </w:r>
      <w:proofErr w:type="spellStart"/>
      <w:r w:rsidRPr="006C2293">
        <w:t>ITEPA</w:t>
      </w:r>
      <w:proofErr w:type="spellEnd"/>
      <w:r w:rsidRPr="006C2293">
        <w:t xml:space="preserve">, the NICs </w:t>
      </w:r>
      <w:r w:rsidR="00DF04A8" w:rsidRPr="006C2293">
        <w:t>Legislation, and</w:t>
      </w:r>
      <w:r w:rsidR="009A6D9D" w:rsidRPr="006C2293">
        <w:t xml:space="preserve"> the Pensions Act 2008</w:t>
      </w:r>
      <w:r w:rsidRPr="006C2293">
        <w:t xml:space="preserve">; or </w:t>
      </w:r>
      <w:r w:rsidRPr="006C2293">
        <w:rPr>
          <w:highlight w:val="lightGray"/>
        </w:rPr>
        <w:t>[</w:t>
      </w:r>
      <w:r w:rsidRPr="006C2293">
        <w:rPr>
          <w:i/>
          <w:highlight w:val="lightGray"/>
        </w:rPr>
        <w:t>see Note 4</w:t>
      </w:r>
      <w:r w:rsidR="006162E8">
        <w:rPr>
          <w:i/>
          <w:highlight w:val="lightGray"/>
        </w:rPr>
        <w:t>2</w:t>
      </w:r>
      <w:r w:rsidRPr="006C2293">
        <w:rPr>
          <w:highlight w:val="lightGray"/>
        </w:rPr>
        <w:t>]</w:t>
      </w:r>
    </w:p>
    <w:p w14:paraId="04085597" w14:textId="77777777" w:rsidR="006C2293" w:rsidRDefault="006C2293" w:rsidP="007311D3">
      <w:pPr>
        <w:pStyle w:val="BodyText"/>
        <w:ind w:left="1956" w:right="284" w:hanging="992"/>
      </w:pPr>
    </w:p>
    <w:p w14:paraId="73324E76" w14:textId="3A569306" w:rsidR="00704C12" w:rsidRPr="006C2293" w:rsidRDefault="00704C12" w:rsidP="007311D3">
      <w:pPr>
        <w:pStyle w:val="BodyText"/>
        <w:numPr>
          <w:ilvl w:val="2"/>
          <w:numId w:val="16"/>
        </w:numPr>
        <w:ind w:left="1956" w:right="284" w:hanging="992"/>
      </w:pPr>
      <w:r w:rsidRPr="006C2293">
        <w:t xml:space="preserve">if there is any variation in the Relevant Terms and Conditions. </w:t>
      </w:r>
    </w:p>
    <w:bookmarkEnd w:id="34"/>
    <w:p w14:paraId="6BF8E8BF" w14:textId="77777777" w:rsidR="00704C12" w:rsidRPr="00FE1620" w:rsidRDefault="00704C12" w:rsidP="00FE1620">
      <w:pPr>
        <w:tabs>
          <w:tab w:val="left" w:pos="561"/>
        </w:tabs>
        <w:spacing w:after="0" w:line="240" w:lineRule="auto"/>
        <w:ind w:right="284"/>
        <w:rPr>
          <w:rFonts w:ascii="Lato" w:hAnsi="Lato"/>
        </w:rPr>
      </w:pPr>
    </w:p>
    <w:p w14:paraId="4705C62C" w14:textId="02E65C81" w:rsidR="00704C12" w:rsidRPr="003A225B" w:rsidRDefault="00704C12" w:rsidP="00D20C6B">
      <w:pPr>
        <w:pStyle w:val="ListParagraph"/>
        <w:numPr>
          <w:ilvl w:val="1"/>
          <w:numId w:val="16"/>
        </w:numPr>
        <w:tabs>
          <w:tab w:val="left" w:pos="567"/>
        </w:tabs>
        <w:ind w:left="924" w:right="284" w:hanging="567"/>
        <w:rPr>
          <w:b/>
        </w:rPr>
      </w:pPr>
      <w:bookmarkStart w:id="35" w:name="_Ref487020587"/>
      <w:r w:rsidRPr="003A225B">
        <w:t xml:space="preserve">The Employment Business will invoice the Client on a </w:t>
      </w:r>
      <w:r w:rsidRPr="003A225B">
        <w:rPr>
          <w:highlight w:val="lightGray"/>
        </w:rPr>
        <w:t>[weekly/monthly]</w:t>
      </w:r>
      <w:r w:rsidRPr="003A225B">
        <w:t xml:space="preserve"> basis. The Client will pay the Charges within </w:t>
      </w:r>
      <w:r w:rsidRPr="003A225B">
        <w:rPr>
          <w:highlight w:val="lightGray"/>
        </w:rPr>
        <w:t>[specify]</w:t>
      </w:r>
      <w:r w:rsidRPr="003A225B">
        <w:t xml:space="preserve"> days of the date of the invoice. </w:t>
      </w:r>
      <w:bookmarkEnd w:id="35"/>
    </w:p>
    <w:p w14:paraId="43905748" w14:textId="77777777" w:rsidR="00704C12" w:rsidRPr="0067312F" w:rsidRDefault="00704C12" w:rsidP="00D20C6B">
      <w:pPr>
        <w:tabs>
          <w:tab w:val="left" w:pos="561"/>
        </w:tabs>
        <w:spacing w:after="0" w:line="240" w:lineRule="auto"/>
        <w:ind w:left="924" w:right="284" w:hanging="567"/>
        <w:rPr>
          <w:rFonts w:ascii="Lato" w:hAnsi="Lato"/>
          <w:b/>
        </w:rPr>
      </w:pPr>
    </w:p>
    <w:p w14:paraId="13714212" w14:textId="682EDB2E" w:rsidR="00704C12" w:rsidRPr="003A225B" w:rsidRDefault="00E75334" w:rsidP="00D20C6B">
      <w:pPr>
        <w:pStyle w:val="ListParagraph"/>
        <w:numPr>
          <w:ilvl w:val="1"/>
          <w:numId w:val="16"/>
        </w:numPr>
        <w:tabs>
          <w:tab w:val="left" w:pos="561"/>
        </w:tabs>
        <w:ind w:left="924" w:right="284" w:hanging="567"/>
        <w:jc w:val="left"/>
        <w:rPr>
          <w:b/>
        </w:rPr>
      </w:pPr>
      <w:bookmarkStart w:id="36" w:name="_Ref487020609"/>
      <w:r>
        <w:rPr>
          <w:b/>
        </w:rPr>
        <w:t xml:space="preserve">WHERE THE </w:t>
      </w:r>
      <w:proofErr w:type="spellStart"/>
      <w:r>
        <w:rPr>
          <w:b/>
        </w:rPr>
        <w:t>AWR</w:t>
      </w:r>
      <w:proofErr w:type="spellEnd"/>
      <w:r>
        <w:rPr>
          <w:b/>
        </w:rPr>
        <w:t xml:space="preserve"> APPLY: </w:t>
      </w:r>
      <w:r w:rsidR="00704C12" w:rsidRPr="003A225B">
        <w:t xml:space="preserve">In addition to the Charges, the Client will pay the Employment Business an amount equal to any bonus that the Client awards to an </w:t>
      </w:r>
      <w:r w:rsidR="00304D2E">
        <w:t>Agency Worker</w:t>
      </w:r>
      <w:r w:rsidR="00704C12" w:rsidRPr="003A225B">
        <w:t xml:space="preserve"> in accordance with clause 3.</w:t>
      </w:r>
      <w:r w:rsidR="00CA0EBA">
        <w:t>11</w:t>
      </w:r>
      <w:r w:rsidR="00704C12" w:rsidRPr="003A225B">
        <w:t xml:space="preserve"> immediately following any such award and the Employment Business will pay any such bonus to that </w:t>
      </w:r>
      <w:r w:rsidR="00304D2E">
        <w:t>Agency Worker</w:t>
      </w:r>
      <w:r w:rsidR="00704C12" w:rsidRPr="003A225B">
        <w:t xml:space="preserve">. </w:t>
      </w:r>
      <w:r w:rsidR="00C72AB3">
        <w:t>T</w:t>
      </w:r>
      <w:r w:rsidR="00704C12" w:rsidRPr="003A225B">
        <w:t xml:space="preserve">he Client will also pay any employer’s National Insurance Contributions and the Employment Business's commission </w:t>
      </w:r>
      <w:r w:rsidR="007E50B5" w:rsidRPr="003A225B">
        <w:t xml:space="preserve">due </w:t>
      </w:r>
      <w:r w:rsidR="00704C12" w:rsidRPr="003A225B">
        <w:t xml:space="preserve">on the bonus </w:t>
      </w:r>
      <w:r w:rsidR="007E50B5" w:rsidRPr="003A225B">
        <w:t xml:space="preserve">amount </w:t>
      </w:r>
      <w:r w:rsidR="00704C12" w:rsidRPr="003A225B">
        <w:t xml:space="preserve">(calculated using the same percentage rate as that used in Schedule 1) in addition to any bonus payable to the </w:t>
      </w:r>
      <w:r w:rsidR="00304D2E">
        <w:t>Agency Worker</w:t>
      </w:r>
      <w:r w:rsidR="00704C12" w:rsidRPr="003A225B">
        <w:t xml:space="preserve">. </w:t>
      </w:r>
      <w:r w:rsidR="00720D68" w:rsidRPr="003A225B">
        <w:rPr>
          <w:highlight w:val="lightGray"/>
        </w:rPr>
        <w:t>[</w:t>
      </w:r>
      <w:r w:rsidR="00720D68" w:rsidRPr="003A225B">
        <w:rPr>
          <w:i/>
          <w:highlight w:val="lightGray"/>
        </w:rPr>
        <w:t>see Note 4</w:t>
      </w:r>
      <w:r w:rsidR="006162E8">
        <w:rPr>
          <w:i/>
          <w:highlight w:val="lightGray"/>
        </w:rPr>
        <w:t>3</w:t>
      </w:r>
      <w:r w:rsidR="00720D68" w:rsidRPr="003A225B">
        <w:rPr>
          <w:highlight w:val="lightGray"/>
        </w:rPr>
        <w:t>]</w:t>
      </w:r>
    </w:p>
    <w:p w14:paraId="7B006901" w14:textId="77777777" w:rsidR="00704C12" w:rsidRPr="00CD127A" w:rsidRDefault="00704C12" w:rsidP="00D20C6B">
      <w:pPr>
        <w:pStyle w:val="ListParagraph"/>
        <w:numPr>
          <w:ilvl w:val="0"/>
          <w:numId w:val="0"/>
        </w:numPr>
        <w:ind w:left="924" w:right="284" w:hanging="567"/>
        <w:jc w:val="left"/>
        <w:rPr>
          <w:b/>
          <w:sz w:val="22"/>
          <w:szCs w:val="22"/>
          <w:highlight w:val="lightGray"/>
        </w:rPr>
      </w:pPr>
    </w:p>
    <w:p w14:paraId="6BC19EE9" w14:textId="55684FDD" w:rsidR="00685BDA" w:rsidRPr="003A225B" w:rsidRDefault="00704C12" w:rsidP="00D20C6B">
      <w:pPr>
        <w:pStyle w:val="ListParagraph"/>
        <w:numPr>
          <w:ilvl w:val="1"/>
          <w:numId w:val="16"/>
        </w:numPr>
        <w:tabs>
          <w:tab w:val="left" w:pos="561"/>
        </w:tabs>
        <w:ind w:left="924" w:right="284" w:hanging="567"/>
        <w:jc w:val="left"/>
        <w:rPr>
          <w:b/>
        </w:rPr>
      </w:pPr>
      <w:r w:rsidRPr="003A225B">
        <w:rPr>
          <w:b/>
          <w:highlight w:val="lightGray"/>
        </w:rPr>
        <w:t xml:space="preserve">Choose from Option </w:t>
      </w:r>
      <w:r w:rsidRPr="003A225B">
        <w:rPr>
          <w:b/>
          <w:highlight w:val="yellow"/>
        </w:rPr>
        <w:t>A</w:t>
      </w:r>
      <w:r w:rsidR="003A225B">
        <w:rPr>
          <w:b/>
          <w:highlight w:val="lightGray"/>
        </w:rPr>
        <w:t xml:space="preserve"> </w:t>
      </w:r>
      <w:r w:rsidRPr="003A225B">
        <w:rPr>
          <w:b/>
          <w:highlight w:val="lightGray"/>
        </w:rPr>
        <w:t xml:space="preserve">or </w:t>
      </w:r>
      <w:r w:rsidRPr="003A225B">
        <w:rPr>
          <w:b/>
          <w:highlight w:val="green"/>
        </w:rPr>
        <w:t>B</w:t>
      </w:r>
      <w:r w:rsidRPr="003A225B">
        <w:rPr>
          <w:b/>
          <w:highlight w:val="lightGray"/>
        </w:rPr>
        <w:t xml:space="preserve"> and delete the option not used.</w:t>
      </w:r>
      <w:r w:rsidRPr="003A225B">
        <w:rPr>
          <w:b/>
          <w:i/>
        </w:rPr>
        <w:t xml:space="preserve"> </w:t>
      </w:r>
      <w:r w:rsidRPr="003A225B">
        <w:rPr>
          <w:highlight w:val="lightGray"/>
        </w:rPr>
        <w:t>[</w:t>
      </w:r>
      <w:r w:rsidRPr="003A225B">
        <w:rPr>
          <w:i/>
          <w:highlight w:val="lightGray"/>
        </w:rPr>
        <w:t>see Note 4</w:t>
      </w:r>
      <w:r w:rsidR="00AC7571">
        <w:rPr>
          <w:i/>
          <w:highlight w:val="lightGray"/>
        </w:rPr>
        <w:t>4</w:t>
      </w:r>
      <w:r w:rsidRPr="003A225B">
        <w:rPr>
          <w:highlight w:val="lightGray"/>
        </w:rPr>
        <w:t>]</w:t>
      </w:r>
      <w:bookmarkEnd w:id="36"/>
      <w:r w:rsidRPr="003A225B">
        <w:t xml:space="preserve"> The Employment Business</w:t>
      </w:r>
      <w:r w:rsidRPr="003A225B" w:rsidDel="00C232A4">
        <w:t xml:space="preserve"> </w:t>
      </w:r>
      <w:r w:rsidRPr="003A225B">
        <w:t xml:space="preserve">reserves the right to charge interest </w:t>
      </w:r>
      <w:r w:rsidRPr="003A225B">
        <w:rPr>
          <w:highlight w:val="yellow"/>
        </w:rPr>
        <w:t xml:space="preserve">A: under the Late Payment of Commercial Debts (Interest) Act 1998 </w:t>
      </w:r>
      <w:r w:rsidRPr="003A225B">
        <w:t xml:space="preserve">on invoiced amounts unpaid by the due date at the rate of </w:t>
      </w:r>
      <w:r w:rsidRPr="003A225B">
        <w:rPr>
          <w:highlight w:val="yellow"/>
        </w:rPr>
        <w:t>A: 8% per annum above the base rate from time to time of the Bank of England</w:t>
      </w:r>
      <w:r w:rsidRPr="003A225B">
        <w:t xml:space="preserve"> </w:t>
      </w:r>
      <w:r w:rsidRPr="003A225B">
        <w:rPr>
          <w:highlight w:val="green"/>
        </w:rPr>
        <w:t>B:</w:t>
      </w:r>
      <w:r w:rsidRPr="003A225B">
        <w:t xml:space="preserve"> </w:t>
      </w:r>
      <w:r w:rsidRPr="003A225B">
        <w:rPr>
          <w:highlight w:val="lightGray"/>
        </w:rPr>
        <w:t>[specify a rate]</w:t>
      </w:r>
      <w:r w:rsidRPr="003A225B">
        <w:rPr>
          <w:highlight w:val="green"/>
        </w:rPr>
        <w:t xml:space="preserve">% per annum above the base rate from time to time of the </w:t>
      </w:r>
      <w:r w:rsidRPr="003A225B">
        <w:rPr>
          <w:highlight w:val="lightGray"/>
        </w:rPr>
        <w:t>[specify your bank]</w:t>
      </w:r>
      <w:r w:rsidRPr="003A225B">
        <w:t>from the due date until the date of payment.</w:t>
      </w:r>
    </w:p>
    <w:p w14:paraId="7DFA44C8" w14:textId="77777777" w:rsidR="00685BDA" w:rsidRDefault="00685BDA" w:rsidP="00D20C6B">
      <w:pPr>
        <w:spacing w:after="0" w:line="240" w:lineRule="auto"/>
        <w:ind w:left="924" w:right="284" w:hanging="567"/>
      </w:pPr>
    </w:p>
    <w:p w14:paraId="0CB61607" w14:textId="04D7103A" w:rsidR="00704C12" w:rsidRPr="003A225B" w:rsidRDefault="00704C12" w:rsidP="000C0E31">
      <w:pPr>
        <w:pStyle w:val="ListParagraph"/>
        <w:numPr>
          <w:ilvl w:val="1"/>
          <w:numId w:val="16"/>
        </w:numPr>
        <w:tabs>
          <w:tab w:val="left" w:pos="561"/>
        </w:tabs>
        <w:ind w:left="924" w:right="284" w:hanging="567"/>
        <w:jc w:val="left"/>
        <w:rPr>
          <w:b/>
        </w:rPr>
      </w:pPr>
      <w:r w:rsidRPr="003A225B">
        <w:t xml:space="preserve">The Client </w:t>
      </w:r>
      <w:r w:rsidR="007E50B5" w:rsidRPr="003A225B">
        <w:t xml:space="preserve">will pay the Charges due </w:t>
      </w:r>
      <w:r w:rsidRPr="003A225B">
        <w:t xml:space="preserve">under this clause 6 </w:t>
      </w:r>
      <w:r w:rsidR="007E50B5" w:rsidRPr="003A225B">
        <w:t xml:space="preserve">and has no right to </w:t>
      </w:r>
      <w:r w:rsidRPr="003A225B">
        <w:t>set-off, deduct</w:t>
      </w:r>
      <w:r w:rsidR="007E50B5" w:rsidRPr="003A225B">
        <w:t xml:space="preserve"> or withhold any sums due</w:t>
      </w:r>
      <w:r w:rsidRPr="003A225B">
        <w:t xml:space="preserve">. </w:t>
      </w:r>
    </w:p>
    <w:p w14:paraId="060ADAB7" w14:textId="77777777" w:rsidR="00685BDA" w:rsidRDefault="00685BDA" w:rsidP="00D20C6B">
      <w:pPr>
        <w:pStyle w:val="ListParagraph"/>
        <w:numPr>
          <w:ilvl w:val="0"/>
          <w:numId w:val="0"/>
        </w:numPr>
        <w:ind w:left="924" w:right="284" w:hanging="567"/>
        <w:jc w:val="left"/>
        <w:rPr>
          <w:b/>
        </w:rPr>
      </w:pPr>
    </w:p>
    <w:p w14:paraId="4DEF69E9" w14:textId="28566E5E" w:rsidR="00704C12" w:rsidRPr="004D42C1" w:rsidRDefault="00704C12" w:rsidP="00D20C6B">
      <w:pPr>
        <w:pStyle w:val="ListParagraph"/>
        <w:numPr>
          <w:ilvl w:val="1"/>
          <w:numId w:val="16"/>
        </w:numPr>
        <w:tabs>
          <w:tab w:val="left" w:pos="561"/>
        </w:tabs>
        <w:ind w:left="924" w:right="284" w:hanging="567"/>
        <w:rPr>
          <w:b/>
        </w:rPr>
      </w:pPr>
      <w:bookmarkStart w:id="37" w:name="_Ref487020623"/>
      <w:r w:rsidRPr="003A225B">
        <w:t xml:space="preserve">The Employment Business will not refund any of the Charges. </w:t>
      </w:r>
      <w:r w:rsidRPr="003A225B">
        <w:rPr>
          <w:highlight w:val="lightGray"/>
        </w:rPr>
        <w:t>[</w:t>
      </w:r>
      <w:r w:rsidR="00720D68" w:rsidRPr="003A225B">
        <w:rPr>
          <w:i/>
          <w:highlight w:val="lightGray"/>
        </w:rPr>
        <w:t>s</w:t>
      </w:r>
      <w:r w:rsidRPr="003A225B">
        <w:rPr>
          <w:i/>
          <w:highlight w:val="lightGray"/>
        </w:rPr>
        <w:t>ee Note 4</w:t>
      </w:r>
      <w:r w:rsidR="006162E8">
        <w:rPr>
          <w:i/>
          <w:highlight w:val="lightGray"/>
        </w:rPr>
        <w:t>5</w:t>
      </w:r>
      <w:r w:rsidRPr="003A225B">
        <w:rPr>
          <w:highlight w:val="lightGray"/>
        </w:rPr>
        <w:t>]</w:t>
      </w:r>
      <w:bookmarkEnd w:id="37"/>
    </w:p>
    <w:p w14:paraId="74BEDE51" w14:textId="2381421B" w:rsidR="00704C12" w:rsidRPr="00CD127A" w:rsidRDefault="00704C12" w:rsidP="00FE28C9">
      <w:pPr>
        <w:pStyle w:val="Heading3"/>
        <w:numPr>
          <w:ilvl w:val="0"/>
          <w:numId w:val="16"/>
        </w:numPr>
      </w:pPr>
      <w:r w:rsidRPr="00CD127A">
        <w:t>PAYING A TEMPORARY RESOURCE</w:t>
      </w:r>
    </w:p>
    <w:p w14:paraId="5963BEFD" w14:textId="77777777" w:rsidR="00704C12" w:rsidRPr="00CD127A" w:rsidRDefault="00704C12" w:rsidP="004D14B9">
      <w:pPr>
        <w:pStyle w:val="BodyText"/>
      </w:pPr>
    </w:p>
    <w:p w14:paraId="1A1CDCAF" w14:textId="689B5963" w:rsidR="00704C12" w:rsidRPr="00CD127A" w:rsidRDefault="00704C12" w:rsidP="004D42C1">
      <w:pPr>
        <w:pStyle w:val="BodyText"/>
      </w:pPr>
      <w:r w:rsidRPr="00CD127A">
        <w:t>The Employment Business is responsible for paying a</w:t>
      </w:r>
      <w:r w:rsidR="007E50B5">
        <w:t>ll</w:t>
      </w:r>
      <w:r w:rsidRPr="00CD127A">
        <w:t xml:space="preserve"> Temporary Resource</w:t>
      </w:r>
      <w:r w:rsidR="00BA1EF6">
        <w:t xml:space="preserve">s.  Where required, the Employment Business is responsible </w:t>
      </w:r>
      <w:r w:rsidRPr="00CD127A">
        <w:t xml:space="preserve">for the deduction and payment of </w:t>
      </w:r>
      <w:r w:rsidR="007E50B5">
        <w:t>n</w:t>
      </w:r>
      <w:r w:rsidRPr="00CD127A">
        <w:t xml:space="preserve">ational </w:t>
      </w:r>
      <w:r w:rsidR="007E50B5">
        <w:t>i</w:t>
      </w:r>
      <w:r w:rsidRPr="00CD127A">
        <w:t xml:space="preserve">nsurance </w:t>
      </w:r>
      <w:r w:rsidR="007E50B5">
        <w:t>c</w:t>
      </w:r>
      <w:r w:rsidRPr="00CD127A">
        <w:t xml:space="preserve">ontributions and PAYE </w:t>
      </w:r>
      <w:r w:rsidR="007E50B5">
        <w:t>i</w:t>
      </w:r>
      <w:r w:rsidRPr="00CD127A">
        <w:t xml:space="preserve">ncome </w:t>
      </w:r>
      <w:r w:rsidR="00B6205F">
        <w:t>t</w:t>
      </w:r>
      <w:r w:rsidRPr="00CD127A">
        <w:t xml:space="preserve">ax applicable to a Temporary Resource </w:t>
      </w:r>
      <w:r w:rsidR="00EA02EA">
        <w:t xml:space="preserve">under </w:t>
      </w:r>
      <w:r w:rsidRPr="00CD127A">
        <w:t xml:space="preserve">the requirements of </w:t>
      </w:r>
      <w:r w:rsidR="00B6205F">
        <w:t xml:space="preserve">the NICs Legislation and </w:t>
      </w:r>
      <w:proofErr w:type="spellStart"/>
      <w:r w:rsidRPr="00CD127A">
        <w:t>ITEPA</w:t>
      </w:r>
      <w:proofErr w:type="spellEnd"/>
      <w:r w:rsidRPr="00CD127A">
        <w:t xml:space="preserve">. </w:t>
      </w:r>
      <w:r w:rsidRPr="00CD127A">
        <w:rPr>
          <w:highlight w:val="lightGray"/>
        </w:rPr>
        <w:t>[</w:t>
      </w:r>
      <w:r w:rsidRPr="00CD127A">
        <w:rPr>
          <w:i/>
          <w:highlight w:val="lightGray"/>
        </w:rPr>
        <w:t>see Note 4</w:t>
      </w:r>
      <w:r w:rsidR="006162E8">
        <w:rPr>
          <w:i/>
          <w:highlight w:val="lightGray"/>
        </w:rPr>
        <w:t>6</w:t>
      </w:r>
      <w:r w:rsidRPr="00CD127A">
        <w:rPr>
          <w:highlight w:val="lightGray"/>
        </w:rPr>
        <w:t>]</w:t>
      </w:r>
    </w:p>
    <w:p w14:paraId="604AE0D7" w14:textId="0519E0C3" w:rsidR="00704C12" w:rsidRPr="00CD127A" w:rsidRDefault="00704C12" w:rsidP="00FE28C9">
      <w:pPr>
        <w:pStyle w:val="Heading3"/>
        <w:numPr>
          <w:ilvl w:val="0"/>
          <w:numId w:val="16"/>
        </w:numPr>
      </w:pPr>
      <w:r w:rsidRPr="00CD127A">
        <w:lastRenderedPageBreak/>
        <w:t xml:space="preserve">TRANSFER FEES </w:t>
      </w:r>
      <w:r w:rsidRPr="00CD127A">
        <w:rPr>
          <w:highlight w:val="lightGray"/>
        </w:rPr>
        <w:t>[</w:t>
      </w:r>
      <w:r w:rsidRPr="00CD127A">
        <w:rPr>
          <w:i/>
          <w:highlight w:val="lightGray"/>
        </w:rPr>
        <w:t>see Note</w:t>
      </w:r>
      <w:r w:rsidR="0090263E">
        <w:rPr>
          <w:i/>
          <w:highlight w:val="lightGray"/>
        </w:rPr>
        <w:t xml:space="preserve"> </w:t>
      </w:r>
      <w:r w:rsidR="0090263E" w:rsidRPr="00AC7571">
        <w:rPr>
          <w:i/>
          <w:highlight w:val="lightGray"/>
        </w:rPr>
        <w:t>4</w:t>
      </w:r>
      <w:r w:rsidR="006162E8" w:rsidRPr="00AC7571">
        <w:rPr>
          <w:i/>
          <w:highlight w:val="lightGray"/>
        </w:rPr>
        <w:t>7</w:t>
      </w:r>
      <w:r w:rsidR="007F594F" w:rsidRPr="00AC7571">
        <w:rPr>
          <w:i/>
          <w:highlight w:val="lightGray"/>
        </w:rPr>
        <w:t xml:space="preserve"> and </w:t>
      </w:r>
      <w:r w:rsidR="007F594F" w:rsidRPr="00EE13F9">
        <w:rPr>
          <w:i/>
          <w:highlight w:val="lightGray"/>
        </w:rPr>
        <w:t>48</w:t>
      </w:r>
      <w:r w:rsidR="007F594F" w:rsidRPr="00EE13F9">
        <w:rPr>
          <w:iCs/>
          <w:highlight w:val="lightGray"/>
        </w:rPr>
        <w:t>]</w:t>
      </w:r>
    </w:p>
    <w:p w14:paraId="33A08BF2" w14:textId="77777777" w:rsidR="00704C12" w:rsidRPr="00CD127A" w:rsidRDefault="00704C12" w:rsidP="00FE1620">
      <w:pPr>
        <w:spacing w:after="0" w:line="240" w:lineRule="auto"/>
        <w:ind w:right="284"/>
        <w:rPr>
          <w:rFonts w:ascii="Lato" w:hAnsi="Lato"/>
          <w:b/>
        </w:rPr>
      </w:pPr>
    </w:p>
    <w:p w14:paraId="312595B6" w14:textId="2986045D" w:rsidR="00704C12" w:rsidRPr="004D14B9" w:rsidRDefault="00704C12" w:rsidP="00D20C6B">
      <w:pPr>
        <w:pStyle w:val="ListParagraph"/>
        <w:numPr>
          <w:ilvl w:val="1"/>
          <w:numId w:val="16"/>
        </w:numPr>
        <w:ind w:left="924" w:right="284" w:hanging="567"/>
        <w:jc w:val="left"/>
      </w:pPr>
      <w:bookmarkStart w:id="38" w:name="_Hlk30676089"/>
      <w:r w:rsidRPr="004D14B9">
        <w:t xml:space="preserve">The Client shall pay the Employment Business a Transfer Fee where the Employment Business Introduces a Temporary Resource to the Client and the Client either: </w:t>
      </w:r>
    </w:p>
    <w:p w14:paraId="09ED35F2" w14:textId="77777777" w:rsidR="00704C12" w:rsidRPr="00270EE8" w:rsidRDefault="00704C12" w:rsidP="004D14B9">
      <w:pPr>
        <w:spacing w:after="0" w:line="240" w:lineRule="auto"/>
        <w:ind w:left="357" w:right="284"/>
        <w:rPr>
          <w:rFonts w:ascii="Lato" w:hAnsi="Lato"/>
        </w:rPr>
      </w:pPr>
    </w:p>
    <w:p w14:paraId="6C3B3BAF" w14:textId="0F75DD8F" w:rsidR="00704C12" w:rsidRPr="00B96D36" w:rsidRDefault="00704C12" w:rsidP="00D20C6B">
      <w:pPr>
        <w:pStyle w:val="ListParagraph"/>
        <w:numPr>
          <w:ilvl w:val="2"/>
          <w:numId w:val="16"/>
        </w:numPr>
        <w:ind w:left="1956" w:right="284" w:hanging="992"/>
        <w:jc w:val="left"/>
      </w:pPr>
      <w:r w:rsidRPr="00B96D36">
        <w:t xml:space="preserve">Engages the Temporary Resource either </w:t>
      </w:r>
      <w:r w:rsidR="00783F1B">
        <w:t>directly</w:t>
      </w:r>
      <w:r w:rsidRPr="00B96D36">
        <w:t xml:space="preserve"> or </w:t>
      </w:r>
      <w:r w:rsidR="0086739E">
        <w:t>through another employment business</w:t>
      </w:r>
      <w:r w:rsidRPr="00B96D36">
        <w:t xml:space="preserve">; or </w:t>
      </w:r>
    </w:p>
    <w:p w14:paraId="376DA04F" w14:textId="77777777" w:rsidR="00704C12" w:rsidRPr="00270EE8" w:rsidRDefault="00704C12" w:rsidP="00D20C6B">
      <w:pPr>
        <w:spacing w:after="0" w:line="240" w:lineRule="auto"/>
        <w:ind w:left="1956" w:right="284" w:hanging="992"/>
        <w:rPr>
          <w:rFonts w:ascii="Lato" w:hAnsi="Lato"/>
        </w:rPr>
      </w:pPr>
    </w:p>
    <w:p w14:paraId="03ABDABC" w14:textId="77718206" w:rsidR="00704C12" w:rsidRPr="00B96D36" w:rsidRDefault="00704C12" w:rsidP="00D20C6B">
      <w:pPr>
        <w:pStyle w:val="ListParagraph"/>
        <w:numPr>
          <w:ilvl w:val="2"/>
          <w:numId w:val="16"/>
        </w:numPr>
        <w:ind w:left="1956" w:right="284" w:hanging="992"/>
        <w:jc w:val="left"/>
      </w:pPr>
      <w:r w:rsidRPr="00B96D36">
        <w:rPr>
          <w:rFonts w:cstheme="minorHAnsi"/>
        </w:rPr>
        <w:t xml:space="preserve">Introduces the Temporary Resource to a third party and </w:t>
      </w:r>
      <w:r w:rsidR="00F34B8F">
        <w:rPr>
          <w:rFonts w:cstheme="minorHAnsi"/>
        </w:rPr>
        <w:t xml:space="preserve">the third party Engages </w:t>
      </w:r>
      <w:r w:rsidRPr="00B96D36">
        <w:rPr>
          <w:rFonts w:cstheme="minorHAnsi"/>
        </w:rPr>
        <w:t xml:space="preserve">the Temporary Resource other than through the Employment Business </w:t>
      </w:r>
      <w:r w:rsidRPr="00B96D36">
        <w:t xml:space="preserve">either during the Assignment; </w:t>
      </w:r>
      <w:r w:rsidR="0086739E" w:rsidRPr="00B96D36">
        <w:t>and</w:t>
      </w:r>
    </w:p>
    <w:p w14:paraId="72F2FE37" w14:textId="77777777" w:rsidR="00704C12" w:rsidRPr="00B96D36" w:rsidRDefault="00704C12" w:rsidP="00D20C6B">
      <w:pPr>
        <w:spacing w:after="0" w:line="240" w:lineRule="auto"/>
        <w:ind w:left="1956" w:right="284" w:hanging="992"/>
        <w:rPr>
          <w:rFonts w:ascii="Lato" w:hAnsi="Lato"/>
        </w:rPr>
      </w:pPr>
    </w:p>
    <w:p w14:paraId="6F0F6C5A" w14:textId="15C8F6CD" w:rsidR="00704C12" w:rsidRPr="00B96D36" w:rsidRDefault="00704C12" w:rsidP="006F2347">
      <w:pPr>
        <w:pStyle w:val="ListParagraph"/>
        <w:numPr>
          <w:ilvl w:val="3"/>
          <w:numId w:val="16"/>
        </w:numPr>
        <w:ind w:left="2948" w:right="284" w:hanging="992"/>
        <w:jc w:val="left"/>
      </w:pPr>
      <w:r w:rsidRPr="00B96D36">
        <w:rPr>
          <w:b/>
        </w:rPr>
        <w:t>WHERE THE CONDUCT REGULATIONS DO NOT APPLY:</w:t>
      </w:r>
      <w:r w:rsidRPr="00B96D36">
        <w:t xml:space="preserve"> </w:t>
      </w:r>
      <w:r w:rsidR="00B2391F" w:rsidRPr="00B96D36">
        <w:t xml:space="preserve">within </w:t>
      </w:r>
      <w:r w:rsidRPr="00B96D36">
        <w:t xml:space="preserve">a period of </w:t>
      </w:r>
      <w:r w:rsidRPr="001C35DF">
        <w:rPr>
          <w:highlight w:val="lightGray"/>
        </w:rPr>
        <w:t>[X]</w:t>
      </w:r>
      <w:r w:rsidRPr="00B96D36">
        <w:t xml:space="preserve"> months from the termination of the Assignment </w:t>
      </w:r>
      <w:r w:rsidR="000C51EB">
        <w:t xml:space="preserve">that </w:t>
      </w:r>
      <w:r w:rsidRPr="00B96D36">
        <w:t xml:space="preserve">the relevant Temporary Resource was supplied </w:t>
      </w:r>
      <w:r w:rsidR="004E5A41">
        <w:t xml:space="preserve">into, </w:t>
      </w:r>
      <w:r w:rsidRPr="00B96D36">
        <w:t xml:space="preserve">or if there was no supply, within </w:t>
      </w:r>
      <w:r w:rsidRPr="001C35DF">
        <w:rPr>
          <w:highlight w:val="lightGray"/>
        </w:rPr>
        <w:t>[X]</w:t>
      </w:r>
      <w:r w:rsidRPr="00B96D36">
        <w:t xml:space="preserve"> months of the Introduction of the Temporary Resource by the Employment Business to the Client; or </w:t>
      </w:r>
    </w:p>
    <w:p w14:paraId="3DBCB9F2" w14:textId="77777777" w:rsidR="00704C12" w:rsidRPr="00B96D36" w:rsidRDefault="00704C12" w:rsidP="006F2347">
      <w:pPr>
        <w:spacing w:after="0" w:line="240" w:lineRule="auto"/>
        <w:ind w:left="2948" w:right="284" w:hanging="992"/>
        <w:rPr>
          <w:rFonts w:ascii="Lato" w:hAnsi="Lato"/>
        </w:rPr>
      </w:pPr>
    </w:p>
    <w:p w14:paraId="0C365F7F" w14:textId="19481B4C" w:rsidR="00704C12" w:rsidRPr="00B96D36" w:rsidRDefault="00704C12" w:rsidP="006F2347">
      <w:pPr>
        <w:pStyle w:val="ListParagraph"/>
        <w:numPr>
          <w:ilvl w:val="3"/>
          <w:numId w:val="16"/>
        </w:numPr>
        <w:ind w:left="2948" w:right="284" w:hanging="992"/>
        <w:jc w:val="left"/>
      </w:pPr>
      <w:r w:rsidRPr="00B96D36">
        <w:rPr>
          <w:b/>
        </w:rPr>
        <w:t>WHERE THE CONDUCT REGULATIONS APPLY:</w:t>
      </w:r>
      <w:r w:rsidRPr="00B96D36" w:rsidDel="008B051D">
        <w:t xml:space="preserve"> </w:t>
      </w:r>
      <w:r w:rsidRPr="00B96D36">
        <w:t xml:space="preserve">within the Relevant Period, or if there was no supply, within </w:t>
      </w:r>
      <w:r w:rsidRPr="001C35DF">
        <w:rPr>
          <w:highlight w:val="lightGray"/>
        </w:rPr>
        <w:t>[6]</w:t>
      </w:r>
      <w:r w:rsidRPr="00B96D36">
        <w:t xml:space="preserve"> months of the Introduction of the Temporary Resource by the Employment Business to the Client</w:t>
      </w:r>
      <w:r w:rsidR="0086739E">
        <w:t>.</w:t>
      </w:r>
      <w:r w:rsidRPr="00B96D36">
        <w:t xml:space="preserve"> </w:t>
      </w:r>
    </w:p>
    <w:p w14:paraId="1CFA31CD" w14:textId="77777777" w:rsidR="00704C12" w:rsidRPr="00B96D36" w:rsidRDefault="00704C12" w:rsidP="00D20C6B">
      <w:pPr>
        <w:spacing w:after="0" w:line="240" w:lineRule="auto"/>
        <w:ind w:left="1956" w:right="284" w:hanging="992"/>
      </w:pPr>
    </w:p>
    <w:bookmarkEnd w:id="38"/>
    <w:p w14:paraId="471D91A3" w14:textId="77777777" w:rsidR="00704C12" w:rsidRPr="007F5594" w:rsidRDefault="00704C12" w:rsidP="000C0E31">
      <w:pPr>
        <w:pStyle w:val="ListParagraph"/>
        <w:numPr>
          <w:ilvl w:val="1"/>
          <w:numId w:val="16"/>
        </w:numPr>
        <w:ind w:left="924" w:right="284" w:hanging="567"/>
        <w:jc w:val="left"/>
        <w:rPr>
          <w:b/>
        </w:rPr>
      </w:pPr>
      <w:r w:rsidRPr="007F5594">
        <w:t>The Employment Business will calculate the Transfer Fee as set out in Schedule 2.</w:t>
      </w:r>
    </w:p>
    <w:p w14:paraId="5468F51A" w14:textId="77777777" w:rsidR="00704C12" w:rsidRPr="00CD127A" w:rsidRDefault="00704C12" w:rsidP="000C0E31">
      <w:pPr>
        <w:spacing w:after="0" w:line="240" w:lineRule="auto"/>
        <w:ind w:left="924" w:right="284" w:hanging="567"/>
        <w:rPr>
          <w:rFonts w:ascii="Lato" w:hAnsi="Lato"/>
          <w:b/>
        </w:rPr>
      </w:pPr>
    </w:p>
    <w:p w14:paraId="598FCCF2" w14:textId="3E42914A" w:rsidR="00704C12" w:rsidRPr="007F5594" w:rsidRDefault="00704C12" w:rsidP="000C0E31">
      <w:pPr>
        <w:pStyle w:val="ListParagraph"/>
        <w:numPr>
          <w:ilvl w:val="1"/>
          <w:numId w:val="16"/>
        </w:numPr>
        <w:ind w:left="924" w:right="284" w:hanging="567"/>
        <w:jc w:val="left"/>
        <w:rPr>
          <w:b/>
        </w:rPr>
      </w:pPr>
      <w:r w:rsidRPr="007F5594">
        <w:rPr>
          <w:b/>
        </w:rPr>
        <w:t>WHERE THE CONDUCT REGULATIONS APPLY:</w:t>
      </w:r>
      <w:r w:rsidRPr="007F5594">
        <w:t xml:space="preserve">  If the Client wishes to Engage the Temporary Resource </w:t>
      </w:r>
      <w:r w:rsidRPr="00B96D36">
        <w:t xml:space="preserve">other than </w:t>
      </w:r>
      <w:r w:rsidR="00E75334">
        <w:t>through</w:t>
      </w:r>
      <w:r w:rsidR="00E75334" w:rsidRPr="00B96D36">
        <w:t xml:space="preserve"> </w:t>
      </w:r>
      <w:r w:rsidRPr="00B96D36">
        <w:t>the Employment Business</w:t>
      </w:r>
      <w:r w:rsidRPr="007F5594">
        <w:t>, but without liability to pay a Transfer Fee</w:t>
      </w:r>
      <w:r w:rsidR="00B6205F" w:rsidRPr="007F5594">
        <w:t>,</w:t>
      </w:r>
      <w:r w:rsidRPr="007F5594">
        <w:t xml:space="preserve"> the Client may, on giving </w:t>
      </w:r>
      <w:r w:rsidRPr="007F5594">
        <w:rPr>
          <w:highlight w:val="lightGray"/>
        </w:rPr>
        <w:t xml:space="preserve">[one week’s </w:t>
      </w:r>
      <w:r w:rsidRPr="007F5594">
        <w:rPr>
          <w:i/>
          <w:highlight w:val="lightGray"/>
        </w:rPr>
        <w:t>or</w:t>
      </w:r>
      <w:r w:rsidRPr="007F5594">
        <w:rPr>
          <w:highlight w:val="lightGray"/>
        </w:rPr>
        <w:t xml:space="preserve"> </w:t>
      </w:r>
      <w:r w:rsidRPr="007F5594">
        <w:rPr>
          <w:i/>
          <w:highlight w:val="lightGray"/>
        </w:rPr>
        <w:t>such notice as you require</w:t>
      </w:r>
      <w:r w:rsidRPr="007F5594">
        <w:rPr>
          <w:highlight w:val="lightGray"/>
        </w:rPr>
        <w:t>]</w:t>
      </w:r>
      <w:r w:rsidRPr="007F5594">
        <w:t xml:space="preserve"> written notice to the Employment Business, engage the relevant Temporary Resource for the Period of Extended Hire specified in Schedule 2. </w:t>
      </w:r>
      <w:r w:rsidRPr="007F5594">
        <w:rPr>
          <w:highlight w:val="lightGray"/>
        </w:rPr>
        <w:t>[</w:t>
      </w:r>
      <w:r w:rsidRPr="007F5594">
        <w:rPr>
          <w:i/>
          <w:highlight w:val="lightGray"/>
        </w:rPr>
        <w:t>see Note 4</w:t>
      </w:r>
      <w:r w:rsidR="006162E8">
        <w:rPr>
          <w:i/>
          <w:highlight w:val="lightGray"/>
        </w:rPr>
        <w:t>8</w:t>
      </w:r>
      <w:r w:rsidRPr="007F5594">
        <w:rPr>
          <w:highlight w:val="lightGray"/>
        </w:rPr>
        <w:t>]</w:t>
      </w:r>
    </w:p>
    <w:p w14:paraId="7CB64C55" w14:textId="77777777" w:rsidR="00704C12" w:rsidRPr="00685BDA" w:rsidRDefault="00704C12" w:rsidP="000C0E31">
      <w:pPr>
        <w:spacing w:after="0" w:line="240" w:lineRule="auto"/>
        <w:ind w:left="924" w:right="284" w:hanging="567"/>
        <w:rPr>
          <w:b/>
        </w:rPr>
      </w:pPr>
    </w:p>
    <w:p w14:paraId="789B52B6" w14:textId="03E714C3" w:rsidR="00704C12" w:rsidRPr="00757732" w:rsidRDefault="00704C12" w:rsidP="000C0E31">
      <w:pPr>
        <w:pStyle w:val="ListParagraph"/>
        <w:numPr>
          <w:ilvl w:val="1"/>
          <w:numId w:val="16"/>
        </w:numPr>
        <w:ind w:left="924" w:right="284" w:hanging="567"/>
        <w:jc w:val="left"/>
        <w:rPr>
          <w:b/>
        </w:rPr>
      </w:pPr>
      <w:r w:rsidRPr="00757732">
        <w:rPr>
          <w:b/>
        </w:rPr>
        <w:t>WHERE THE CONDUCT REGULATIONS APPLY:</w:t>
      </w:r>
      <w:r w:rsidRPr="00757732">
        <w:t xml:space="preserve">  During </w:t>
      </w:r>
      <w:r w:rsidR="00EA02EA">
        <w:t xml:space="preserve">the </w:t>
      </w:r>
      <w:r w:rsidRPr="00757732">
        <w:t xml:space="preserve"> Period of Extended Hire the Employment Business shall supply a Temporary Resource on the same terms on which it has or would have been supplied during the Assignment and in any case</w:t>
      </w:r>
      <w:r w:rsidR="00B6205F" w:rsidRPr="00757732">
        <w:t>,</w:t>
      </w:r>
      <w:r w:rsidRPr="00757732">
        <w:t xml:space="preserve"> on terms no less favourable than those terms which applied immediately before the Employment Business received the notice in clause 8.3 and the Client shall continue to pay the Charges. If the Employment Business is unable to supply a Temporary Resource for any reason outside its control for the whole or any part of the Period of Extended Hire</w:t>
      </w:r>
      <w:r w:rsidR="00B6205F" w:rsidRPr="00757732">
        <w:t>,</w:t>
      </w:r>
      <w:r w:rsidRPr="00757732">
        <w:t xml:space="preserve"> or the Client does not wish to hire the Temporary Resource on the same terms as the Assignment, but a Temporary Resource is Engaged by the Client, the Client shall pay the Transfer Fee, reduced pro-rata to reflect any Charges paid by the Client during any part of the Period of Extended Hire worked by the Temporary Resource before being Engaged by the Client. If the Client </w:t>
      </w:r>
      <w:r w:rsidR="00B6205F" w:rsidRPr="00757732">
        <w:t>does not give the Employment Business</w:t>
      </w:r>
      <w:r w:rsidRPr="00757732">
        <w:t xml:space="preserve"> notice of its intention to Engage a Temporary Resource other than via the Employment Business before the Engagement takes place, the parties agree that the Transfer Fee shall be due in full. </w:t>
      </w:r>
      <w:r w:rsidRPr="00757732">
        <w:rPr>
          <w:highlight w:val="lightGray"/>
        </w:rPr>
        <w:t>[</w:t>
      </w:r>
      <w:r w:rsidRPr="00757732">
        <w:rPr>
          <w:i/>
          <w:highlight w:val="lightGray"/>
        </w:rPr>
        <w:t>see Note 4</w:t>
      </w:r>
      <w:r w:rsidR="006162E8">
        <w:rPr>
          <w:i/>
          <w:highlight w:val="lightGray"/>
        </w:rPr>
        <w:t>8</w:t>
      </w:r>
      <w:r w:rsidRPr="00757732">
        <w:rPr>
          <w:highlight w:val="lightGray"/>
        </w:rPr>
        <w:t>]</w:t>
      </w:r>
    </w:p>
    <w:p w14:paraId="79C0F771" w14:textId="77777777" w:rsidR="00704C12" w:rsidRPr="00685BDA" w:rsidRDefault="00704C12" w:rsidP="000C0E31">
      <w:pPr>
        <w:spacing w:after="0" w:line="240" w:lineRule="auto"/>
        <w:ind w:left="924" w:right="284" w:hanging="567"/>
      </w:pPr>
    </w:p>
    <w:p w14:paraId="7AE19678" w14:textId="6DDDB637" w:rsidR="00704C12" w:rsidRPr="00757732" w:rsidRDefault="00704C12" w:rsidP="000C0E31">
      <w:pPr>
        <w:pStyle w:val="ListParagraph"/>
        <w:numPr>
          <w:ilvl w:val="1"/>
          <w:numId w:val="16"/>
        </w:numPr>
        <w:ind w:left="924" w:right="284" w:hanging="567"/>
        <w:jc w:val="left"/>
        <w:rPr>
          <w:b/>
        </w:rPr>
      </w:pPr>
      <w:r w:rsidRPr="00757732">
        <w:t>Where</w:t>
      </w:r>
      <w:r w:rsidR="00713F87" w:rsidRPr="00757732">
        <w:t xml:space="preserve">, before the start </w:t>
      </w:r>
      <w:r w:rsidRPr="00757732">
        <w:t xml:space="preserve">of the Client’s Engagement </w:t>
      </w:r>
      <w:r w:rsidR="00713F87" w:rsidRPr="00757732">
        <w:t xml:space="preserve">of a Temporary Resource </w:t>
      </w:r>
      <w:r w:rsidRPr="00B96D36">
        <w:t xml:space="preserve">other than </w:t>
      </w:r>
      <w:r w:rsidR="00E75334">
        <w:t>through</w:t>
      </w:r>
      <w:r w:rsidR="00E75334" w:rsidRPr="00B96D36">
        <w:t xml:space="preserve"> </w:t>
      </w:r>
      <w:r w:rsidRPr="00B96D36">
        <w:t>the Employment Business</w:t>
      </w:r>
      <w:r w:rsidRPr="00D752F4">
        <w:t>,</w:t>
      </w:r>
      <w:r w:rsidRPr="00757732">
        <w:t xml:space="preserve"> the Employment Business and the Client agree that such Engagement will be on the basis of a fixed term of less than 12 months, the Employment Business may, in its absolute discretion, reduce the Transfer Fee as </w:t>
      </w:r>
      <w:r w:rsidRPr="00757732">
        <w:lastRenderedPageBreak/>
        <w:t>calculated in accordance with Schedule 2 pro-rata. Such reduction is subject to the Client Engaging the Temporary Resource for the agreed fixed term. Should the Client extend the Temporary Resource’s Engagement or re-Engage the Temporary Resource within 12 months from the commencement of the initial Engagement the Employment Business reserves the right to recover the balance of the Transfer Fee.</w:t>
      </w:r>
    </w:p>
    <w:p w14:paraId="3B567381" w14:textId="77777777" w:rsidR="00704C12" w:rsidRPr="00685BDA" w:rsidRDefault="00704C12" w:rsidP="000C0E31">
      <w:pPr>
        <w:spacing w:after="0" w:line="240" w:lineRule="auto"/>
        <w:ind w:left="924" w:right="284" w:hanging="567"/>
      </w:pPr>
    </w:p>
    <w:p w14:paraId="7E99E3B7" w14:textId="77777777" w:rsidR="00704C12" w:rsidRPr="00586569" w:rsidRDefault="00704C12" w:rsidP="000C0E31">
      <w:pPr>
        <w:pStyle w:val="ListParagraph"/>
        <w:numPr>
          <w:ilvl w:val="1"/>
          <w:numId w:val="16"/>
        </w:numPr>
        <w:ind w:left="924" w:right="284" w:hanging="567"/>
        <w:jc w:val="left"/>
        <w:rPr>
          <w:b/>
        </w:rPr>
      </w:pPr>
      <w:r w:rsidRPr="00586569">
        <w:t>The Employment Business will not</w:t>
      </w:r>
      <w:r w:rsidRPr="00586569">
        <w:rPr>
          <w:b/>
        </w:rPr>
        <w:t xml:space="preserve"> </w:t>
      </w:r>
      <w:r w:rsidRPr="00586569">
        <w:t>refund the Transfer Fee if the Engagement of the Temporary Resource whether by the Client or a third party to which the Client introduces the Temporary Resource, subsequently terminates or terminates before the end of the fixed term referred to in clause 8.5.</w:t>
      </w:r>
    </w:p>
    <w:p w14:paraId="70C1EB19" w14:textId="77777777" w:rsidR="00704C12" w:rsidRPr="00685BDA" w:rsidRDefault="00704C12" w:rsidP="000C0E31">
      <w:pPr>
        <w:spacing w:after="0" w:line="240" w:lineRule="auto"/>
        <w:ind w:left="924" w:right="284" w:hanging="567"/>
      </w:pPr>
    </w:p>
    <w:p w14:paraId="72FA3744" w14:textId="7D729E72" w:rsidR="00704C12" w:rsidRPr="004D42C1" w:rsidRDefault="00704C12" w:rsidP="000C0E31">
      <w:pPr>
        <w:pStyle w:val="ListParagraph"/>
        <w:numPr>
          <w:ilvl w:val="1"/>
          <w:numId w:val="16"/>
        </w:numPr>
        <w:ind w:left="924" w:right="284" w:hanging="567"/>
        <w:jc w:val="left"/>
        <w:rPr>
          <w:b/>
        </w:rPr>
      </w:pPr>
      <w:r w:rsidRPr="00586569">
        <w:t xml:space="preserve">VAT is payable at the applicable rate in addition to any Transfer Fee due. </w:t>
      </w:r>
    </w:p>
    <w:p w14:paraId="04271DBF" w14:textId="7A7D9913" w:rsidR="00704C12" w:rsidRPr="00CD127A" w:rsidRDefault="00704C12" w:rsidP="000C0E31">
      <w:pPr>
        <w:pStyle w:val="Heading3"/>
        <w:numPr>
          <w:ilvl w:val="0"/>
          <w:numId w:val="16"/>
        </w:numPr>
      </w:pPr>
      <w:bookmarkStart w:id="39" w:name="_Ref487020710"/>
      <w:r w:rsidRPr="00CD127A">
        <w:t xml:space="preserve">UNSUITABILITY OF </w:t>
      </w:r>
      <w:r w:rsidR="00F34B8F">
        <w:t>A</w:t>
      </w:r>
      <w:r w:rsidR="00F34B8F" w:rsidRPr="00CD127A">
        <w:t xml:space="preserve"> </w:t>
      </w:r>
      <w:r w:rsidR="006B665A">
        <w:t>TEMPORARY RESOURCE</w:t>
      </w:r>
      <w:r w:rsidR="006B665A" w:rsidRPr="00CD127A">
        <w:t xml:space="preserve"> </w:t>
      </w:r>
      <w:bookmarkEnd w:id="39"/>
    </w:p>
    <w:p w14:paraId="6BACED8B" w14:textId="77777777" w:rsidR="00704C12" w:rsidRPr="00CD127A" w:rsidRDefault="00704C12" w:rsidP="000C0E31">
      <w:pPr>
        <w:tabs>
          <w:tab w:val="left" w:pos="748"/>
          <w:tab w:val="left" w:pos="935"/>
          <w:tab w:val="left" w:pos="1122"/>
        </w:tabs>
        <w:spacing w:after="0" w:line="240" w:lineRule="auto"/>
        <w:ind w:right="284"/>
        <w:rPr>
          <w:rFonts w:ascii="Lato" w:hAnsi="Lato"/>
          <w:b/>
        </w:rPr>
      </w:pPr>
    </w:p>
    <w:p w14:paraId="6421E06F" w14:textId="5342FDC4" w:rsidR="00704C12" w:rsidRPr="00586569" w:rsidRDefault="00E75334" w:rsidP="000C0E31">
      <w:pPr>
        <w:pStyle w:val="ListParagraph"/>
        <w:numPr>
          <w:ilvl w:val="1"/>
          <w:numId w:val="16"/>
        </w:numPr>
        <w:tabs>
          <w:tab w:val="left" w:pos="748"/>
          <w:tab w:val="left" w:pos="935"/>
          <w:tab w:val="left" w:pos="1122"/>
        </w:tabs>
        <w:ind w:left="924" w:right="284" w:hanging="567"/>
        <w:jc w:val="left"/>
        <w:rPr>
          <w:b/>
        </w:rPr>
      </w:pPr>
      <w:bookmarkStart w:id="40" w:name="_Ref480444058"/>
      <w:bookmarkStart w:id="41" w:name="_Hlk30676953"/>
      <w:r>
        <w:tab/>
      </w:r>
      <w:r w:rsidR="00704C12" w:rsidRPr="00586569">
        <w:t xml:space="preserve">The Client undertakes to satisfy itself about a Temporary Resource’s suitability </w:t>
      </w:r>
      <w:r w:rsidR="00F636F9">
        <w:t xml:space="preserve">to carry </w:t>
      </w:r>
      <w:r w:rsidR="00704C12" w:rsidRPr="00586569">
        <w:t xml:space="preserve">out the relevant Assignment Services. If the Client reasonably considers that the services of a Temporary Resource are </w:t>
      </w:r>
      <w:r w:rsidR="00704C12" w:rsidRPr="00B96D36">
        <w:t>unsatisfactory</w:t>
      </w:r>
      <w:r w:rsidR="000D4054" w:rsidRPr="00B96D36">
        <w:t xml:space="preserve"> or that </w:t>
      </w:r>
      <w:r w:rsidR="000D4054">
        <w:t xml:space="preserve">the </w:t>
      </w:r>
      <w:r w:rsidR="000D4054" w:rsidRPr="00B96D36">
        <w:t>Specified Deliverables have not been delivered</w:t>
      </w:r>
      <w:r w:rsidR="00704C12" w:rsidRPr="00586569">
        <w:t>, the Client must notify the Employment Business in writing immediately and may terminate the Assignment in accordance with clause 11.2</w:t>
      </w:r>
      <w:bookmarkEnd w:id="40"/>
      <w:r w:rsidR="00704C12" w:rsidRPr="00586569">
        <w:t>. The Employment Business may</w:t>
      </w:r>
      <w:r w:rsidR="00713F87" w:rsidRPr="00586569">
        <w:t xml:space="preserve"> in such circumstances and</w:t>
      </w:r>
      <w:r w:rsidR="00704C12" w:rsidRPr="00586569">
        <w:t xml:space="preserve"> in its absolute discretion, reduce or cancel the Charges for the time worked </w:t>
      </w:r>
      <w:r w:rsidR="00E72078">
        <w:t xml:space="preserve">or the services already delivered </w:t>
      </w:r>
      <w:r w:rsidR="00704C12" w:rsidRPr="00586569">
        <w:t xml:space="preserve">by that Temporary Resource, provided that the Client has notified the Employment Business immediately that they have asked the Temporary Resource to leave the Assignment or the Assignment terminates: </w:t>
      </w:r>
    </w:p>
    <w:p w14:paraId="02ABF4BE" w14:textId="77777777" w:rsidR="00704C12" w:rsidRPr="00CD127A" w:rsidRDefault="00704C12" w:rsidP="000C0E31">
      <w:pPr>
        <w:tabs>
          <w:tab w:val="left" w:pos="748"/>
          <w:tab w:val="left" w:pos="935"/>
          <w:tab w:val="left" w:pos="1122"/>
        </w:tabs>
        <w:spacing w:after="0" w:line="240" w:lineRule="auto"/>
        <w:ind w:left="357" w:right="284"/>
        <w:rPr>
          <w:rFonts w:ascii="Lato" w:hAnsi="Lato"/>
        </w:rPr>
      </w:pPr>
    </w:p>
    <w:p w14:paraId="19D8DE83" w14:textId="23F81732" w:rsidR="00704C12" w:rsidRPr="00586569" w:rsidRDefault="00704C12" w:rsidP="000C0E31">
      <w:pPr>
        <w:pStyle w:val="ListParagraph"/>
        <w:numPr>
          <w:ilvl w:val="2"/>
          <w:numId w:val="16"/>
        </w:numPr>
        <w:tabs>
          <w:tab w:val="left" w:pos="1122"/>
        </w:tabs>
        <w:ind w:left="1956" w:right="284" w:hanging="992"/>
        <w:jc w:val="left"/>
      </w:pPr>
      <w:r w:rsidRPr="00586569">
        <w:t xml:space="preserve">within 4 hours of the Temporary Resource commencing the Assignment where the Assignment is for more than </w:t>
      </w:r>
      <w:r w:rsidR="005B0410">
        <w:t>seven</w:t>
      </w:r>
      <w:r w:rsidRPr="00586569">
        <w:t xml:space="preserve"> hours; or</w:t>
      </w:r>
    </w:p>
    <w:p w14:paraId="2FDD17FE" w14:textId="77777777" w:rsidR="00704C12" w:rsidRPr="00CD127A" w:rsidRDefault="00704C12" w:rsidP="000C0E31">
      <w:pPr>
        <w:tabs>
          <w:tab w:val="left" w:pos="1122"/>
        </w:tabs>
        <w:spacing w:after="0" w:line="240" w:lineRule="auto"/>
        <w:ind w:left="1956" w:right="284" w:hanging="992"/>
        <w:rPr>
          <w:rFonts w:ascii="Lato" w:hAnsi="Lato"/>
        </w:rPr>
      </w:pPr>
    </w:p>
    <w:p w14:paraId="4FEE31EE" w14:textId="6C962C4A" w:rsidR="00704C12" w:rsidRDefault="00704C12" w:rsidP="000C0E31">
      <w:pPr>
        <w:pStyle w:val="ListParagraph"/>
        <w:numPr>
          <w:ilvl w:val="2"/>
          <w:numId w:val="16"/>
        </w:numPr>
        <w:tabs>
          <w:tab w:val="left" w:pos="1122"/>
        </w:tabs>
        <w:ind w:left="1956" w:right="284" w:hanging="992"/>
        <w:jc w:val="left"/>
      </w:pPr>
      <w:r w:rsidRPr="00586569">
        <w:t xml:space="preserve">within 2 hours for Assignments of </w:t>
      </w:r>
      <w:r w:rsidR="005B0410">
        <w:t>seven</w:t>
      </w:r>
      <w:r w:rsidRPr="00586569">
        <w:t xml:space="preserve"> hours or less;</w:t>
      </w:r>
    </w:p>
    <w:p w14:paraId="6583B2B0" w14:textId="77777777" w:rsidR="00D96C6E" w:rsidRDefault="00D96C6E" w:rsidP="000C0E31">
      <w:pPr>
        <w:pStyle w:val="BodyText"/>
      </w:pPr>
    </w:p>
    <w:p w14:paraId="70FC5748" w14:textId="1BAD618A" w:rsidR="00D96C6E" w:rsidRDefault="00D96C6E" w:rsidP="000C0E31">
      <w:pPr>
        <w:pStyle w:val="BodyText"/>
        <w:ind w:left="964"/>
      </w:pPr>
      <w:r w:rsidRPr="00CD127A">
        <w:t xml:space="preserve">and provided that the Client </w:t>
      </w:r>
      <w:r>
        <w:t xml:space="preserve">subsequently </w:t>
      </w:r>
      <w:r w:rsidRPr="00CD127A">
        <w:t xml:space="preserve">notifies the Employment Business in writing of the unsuitability of the Temporary Resource </w:t>
      </w:r>
      <w:r>
        <w:t xml:space="preserve">(and why) </w:t>
      </w:r>
      <w:r w:rsidRPr="00CD127A">
        <w:t xml:space="preserve">within 48 hours of the termination of the Assignment. </w:t>
      </w:r>
    </w:p>
    <w:p w14:paraId="76FBAEA3" w14:textId="77777777" w:rsidR="00D96C6E" w:rsidRDefault="00D96C6E" w:rsidP="000C0E31">
      <w:pPr>
        <w:pStyle w:val="ListParagraph"/>
        <w:numPr>
          <w:ilvl w:val="0"/>
          <w:numId w:val="0"/>
        </w:numPr>
        <w:ind w:left="1440"/>
        <w:jc w:val="left"/>
      </w:pPr>
    </w:p>
    <w:bookmarkEnd w:id="41"/>
    <w:p w14:paraId="7737E7E0" w14:textId="314F3D51" w:rsidR="00D96C6E" w:rsidRDefault="00704C12" w:rsidP="000C0E31">
      <w:pPr>
        <w:pStyle w:val="ListParagraph"/>
        <w:numPr>
          <w:ilvl w:val="1"/>
          <w:numId w:val="16"/>
        </w:numPr>
        <w:tabs>
          <w:tab w:val="left" w:pos="1122"/>
        </w:tabs>
        <w:ind w:left="924" w:right="284" w:hanging="567"/>
        <w:jc w:val="left"/>
      </w:pPr>
      <w:r w:rsidRPr="00586569">
        <w:t xml:space="preserve">The Client shall notify the Employment Business immediately </w:t>
      </w:r>
      <w:r w:rsidR="00713F87" w:rsidRPr="00D96C6E">
        <w:rPr>
          <w:highlight w:val="lightGray"/>
        </w:rPr>
        <w:t>[</w:t>
      </w:r>
      <w:r w:rsidRPr="00D96C6E">
        <w:rPr>
          <w:highlight w:val="lightGray"/>
        </w:rPr>
        <w:t xml:space="preserve">and </w:t>
      </w:r>
      <w:r w:rsidR="00713F87" w:rsidRPr="00D96C6E">
        <w:rPr>
          <w:highlight w:val="lightGray"/>
        </w:rPr>
        <w:t xml:space="preserve">always </w:t>
      </w:r>
      <w:r w:rsidRPr="00D96C6E">
        <w:rPr>
          <w:highlight w:val="lightGray"/>
        </w:rPr>
        <w:t>within [</w:t>
      </w:r>
      <w:r w:rsidRPr="00D96C6E">
        <w:rPr>
          <w:i/>
          <w:highlight w:val="lightGray"/>
        </w:rPr>
        <w:t>specify number of hours</w:t>
      </w:r>
      <w:r w:rsidRPr="00D96C6E">
        <w:rPr>
          <w:highlight w:val="lightGray"/>
        </w:rPr>
        <w:t>]</w:t>
      </w:r>
      <w:r w:rsidRPr="004E5A41">
        <w:rPr>
          <w:highlight w:val="lightGray"/>
        </w:rPr>
        <w:t xml:space="preserve"> hours</w:t>
      </w:r>
      <w:r w:rsidR="004E5A41" w:rsidRPr="004E5A41">
        <w:rPr>
          <w:highlight w:val="lightGray"/>
        </w:rPr>
        <w:t>]</w:t>
      </w:r>
      <w:r w:rsidRPr="00586569">
        <w:t xml:space="preserve"> if a Temporary Resource does not provide the Assignment Services or has notified the Client that they are unable to provide the Assignment Services for any reason.</w:t>
      </w:r>
    </w:p>
    <w:p w14:paraId="1D1FF5A8" w14:textId="77777777" w:rsidR="00D96C6E" w:rsidRDefault="00D96C6E" w:rsidP="000C0E31">
      <w:pPr>
        <w:pStyle w:val="ListParagraph"/>
        <w:numPr>
          <w:ilvl w:val="0"/>
          <w:numId w:val="0"/>
        </w:numPr>
        <w:tabs>
          <w:tab w:val="left" w:pos="1122"/>
        </w:tabs>
        <w:ind w:left="924" w:right="284" w:hanging="567"/>
        <w:jc w:val="left"/>
      </w:pPr>
    </w:p>
    <w:p w14:paraId="04DC80BE" w14:textId="490CDF68" w:rsidR="00704C12" w:rsidRPr="004D42C1" w:rsidRDefault="00704C12" w:rsidP="000C0E31">
      <w:pPr>
        <w:pStyle w:val="ListParagraph"/>
        <w:numPr>
          <w:ilvl w:val="1"/>
          <w:numId w:val="16"/>
        </w:numPr>
        <w:tabs>
          <w:tab w:val="left" w:pos="1122"/>
        </w:tabs>
        <w:ind w:left="924" w:right="284" w:hanging="567"/>
        <w:jc w:val="left"/>
      </w:pPr>
      <w:r w:rsidRPr="00CD127A">
        <w:t xml:space="preserve">The Employment Business shall notify the Client immediately if it receives or otherwise obtains information which gives the Employment Business reasonable grounds to believe that a Temporary Resource supplied to the Client is unsuitable for the Assignment and shall be entitled to terminate </w:t>
      </w:r>
      <w:bookmarkStart w:id="42" w:name="_Hlk50732700"/>
      <w:r w:rsidRPr="00CD127A">
        <w:t xml:space="preserve">the Assignment </w:t>
      </w:r>
      <w:r w:rsidR="00256FEE">
        <w:t>immediately</w:t>
      </w:r>
      <w:r w:rsidRPr="00CD127A">
        <w:t xml:space="preserve"> without prior notice and without liability. </w:t>
      </w:r>
      <w:r w:rsidR="00256FEE">
        <w:t xml:space="preserve"> The</w:t>
      </w:r>
      <w:r w:rsidRPr="00CD127A">
        <w:t xml:space="preserve"> Client </w:t>
      </w:r>
      <w:r w:rsidR="00256FEE">
        <w:t xml:space="preserve">will </w:t>
      </w:r>
      <w:r w:rsidRPr="00CD127A">
        <w:t xml:space="preserve">remain liable for all such Charges incurred </w:t>
      </w:r>
      <w:r w:rsidR="004E5A41">
        <w:t xml:space="preserve">before </w:t>
      </w:r>
      <w:r w:rsidR="004E5A41" w:rsidRPr="00CD127A">
        <w:t xml:space="preserve">the </w:t>
      </w:r>
      <w:r w:rsidR="004E5A41">
        <w:t>Assignment was terminated.</w:t>
      </w:r>
      <w:bookmarkEnd w:id="42"/>
      <w:r w:rsidRPr="00CD127A">
        <w:t xml:space="preserve"> </w:t>
      </w:r>
      <w:r w:rsidR="0046380B" w:rsidRPr="00D96C6E">
        <w:rPr>
          <w:highlight w:val="lightGray"/>
        </w:rPr>
        <w:t>[</w:t>
      </w:r>
      <w:r w:rsidR="0046380B" w:rsidRPr="00D96C6E">
        <w:rPr>
          <w:i/>
          <w:highlight w:val="lightGray"/>
        </w:rPr>
        <w:t xml:space="preserve">see Note </w:t>
      </w:r>
      <w:r w:rsidR="00605733">
        <w:rPr>
          <w:i/>
          <w:highlight w:val="lightGray"/>
        </w:rPr>
        <w:t>4</w:t>
      </w:r>
      <w:r w:rsidR="006162E8">
        <w:rPr>
          <w:i/>
          <w:highlight w:val="lightGray"/>
        </w:rPr>
        <w:t>9</w:t>
      </w:r>
      <w:r w:rsidR="0046380B" w:rsidRPr="00D96C6E">
        <w:rPr>
          <w:highlight w:val="lightGray"/>
        </w:rPr>
        <w:t>]</w:t>
      </w:r>
    </w:p>
    <w:p w14:paraId="1A43B6D8" w14:textId="7A543C7D" w:rsidR="00704C12" w:rsidRDefault="00704C12" w:rsidP="000C0E31">
      <w:pPr>
        <w:pStyle w:val="Heading3"/>
        <w:numPr>
          <w:ilvl w:val="0"/>
          <w:numId w:val="18"/>
        </w:numPr>
      </w:pPr>
      <w:r w:rsidRPr="00CD127A">
        <w:t>INFORMATION TO BE PROVIDED IN SPECIAL SITUATIONS</w:t>
      </w:r>
      <w:r w:rsidRPr="00CD127A">
        <w:rPr>
          <w:i/>
        </w:rPr>
        <w:t xml:space="preserve"> </w:t>
      </w:r>
      <w:r w:rsidRPr="00CD127A">
        <w:rPr>
          <w:i/>
          <w:highlight w:val="lightGray"/>
        </w:rPr>
        <w:t>(Optional clause where applicable)</w:t>
      </w:r>
      <w:r w:rsidRPr="00CD127A">
        <w:rPr>
          <w:i/>
        </w:rPr>
        <w:t xml:space="preserve"> </w:t>
      </w:r>
      <w:r w:rsidRPr="00CD127A">
        <w:rPr>
          <w:highlight w:val="lightGray"/>
        </w:rPr>
        <w:t>[</w:t>
      </w:r>
      <w:r w:rsidRPr="00CD127A">
        <w:rPr>
          <w:i/>
          <w:highlight w:val="lightGray"/>
        </w:rPr>
        <w:t>see Note</w:t>
      </w:r>
      <w:r w:rsidR="006162E8">
        <w:rPr>
          <w:i/>
          <w:highlight w:val="lightGray"/>
        </w:rPr>
        <w:t>s</w:t>
      </w:r>
      <w:r w:rsidRPr="00CD127A">
        <w:rPr>
          <w:i/>
          <w:highlight w:val="lightGray"/>
        </w:rPr>
        <w:t xml:space="preserve"> </w:t>
      </w:r>
      <w:r w:rsidR="006162E8">
        <w:rPr>
          <w:i/>
          <w:highlight w:val="lightGray"/>
        </w:rPr>
        <w:t>50 and 51</w:t>
      </w:r>
      <w:r w:rsidRPr="00CD127A">
        <w:rPr>
          <w:highlight w:val="lightGray"/>
        </w:rPr>
        <w:t>]</w:t>
      </w:r>
    </w:p>
    <w:p w14:paraId="5E7621E3" w14:textId="77777777" w:rsidR="00EA2B74" w:rsidRPr="00EA2B74" w:rsidRDefault="00EA2B74" w:rsidP="000C0E31">
      <w:pPr>
        <w:pStyle w:val="BodyText"/>
      </w:pPr>
    </w:p>
    <w:p w14:paraId="10C6924A" w14:textId="0CA18E82" w:rsidR="00704C12" w:rsidRPr="00EA2B74" w:rsidRDefault="00704C12" w:rsidP="000C0E31">
      <w:pPr>
        <w:pStyle w:val="ListParagraph"/>
        <w:numPr>
          <w:ilvl w:val="1"/>
          <w:numId w:val="18"/>
        </w:numPr>
        <w:tabs>
          <w:tab w:val="left" w:pos="748"/>
          <w:tab w:val="left" w:pos="935"/>
          <w:tab w:val="left" w:pos="1122"/>
        </w:tabs>
        <w:ind w:left="924" w:right="284" w:hanging="567"/>
        <w:jc w:val="left"/>
        <w:rPr>
          <w:b/>
        </w:rPr>
      </w:pPr>
      <w:r w:rsidRPr="00EA2B74">
        <w:t xml:space="preserve">The Client shall advise the Employment Business at the time of instructing the Employment Business to supply a Temporary Resource, whether during the course of the </w:t>
      </w:r>
      <w:r w:rsidRPr="00EA2B74">
        <w:lastRenderedPageBreak/>
        <w:t>Assignment, that Temporary Resource</w:t>
      </w:r>
      <w:r w:rsidRPr="00EA2B74" w:rsidDel="00BC07D1">
        <w:t xml:space="preserve"> </w:t>
      </w:r>
      <w:r w:rsidRPr="00EA2B74">
        <w:t xml:space="preserve">will be required to work with, care for or attend one or more Vulnerable Persons or engage in activity or </w:t>
      </w:r>
      <w:r w:rsidR="00E75334">
        <w:t xml:space="preserve">will </w:t>
      </w:r>
      <w:r w:rsidRPr="00EA2B74">
        <w:t xml:space="preserve">otherwise work in a position covered by the Safeguarding Legislation. </w:t>
      </w:r>
    </w:p>
    <w:p w14:paraId="2CE6D615" w14:textId="77777777" w:rsidR="00704C12" w:rsidRPr="00CD127A" w:rsidRDefault="00704C12" w:rsidP="000C0E31">
      <w:pPr>
        <w:tabs>
          <w:tab w:val="left" w:pos="748"/>
          <w:tab w:val="left" w:pos="935"/>
          <w:tab w:val="left" w:pos="1122"/>
        </w:tabs>
        <w:spacing w:after="0" w:line="240" w:lineRule="auto"/>
        <w:ind w:left="924" w:right="284" w:hanging="567"/>
        <w:rPr>
          <w:rFonts w:ascii="Lato" w:hAnsi="Lato"/>
          <w:b/>
        </w:rPr>
      </w:pPr>
    </w:p>
    <w:p w14:paraId="2EAFBC1F" w14:textId="339A1E72" w:rsidR="00704C12" w:rsidRPr="00D20C6B" w:rsidRDefault="00704C12" w:rsidP="000C0E31">
      <w:pPr>
        <w:pStyle w:val="ListParagraph"/>
        <w:numPr>
          <w:ilvl w:val="1"/>
          <w:numId w:val="18"/>
        </w:numPr>
        <w:tabs>
          <w:tab w:val="left" w:pos="748"/>
          <w:tab w:val="left" w:pos="935"/>
          <w:tab w:val="left" w:pos="1122"/>
        </w:tabs>
        <w:ind w:left="924" w:right="284" w:hanging="567"/>
        <w:jc w:val="left"/>
        <w:rPr>
          <w:b/>
        </w:rPr>
      </w:pPr>
      <w:r w:rsidRPr="00EA2B74">
        <w:t xml:space="preserve">The Client shall assist the Employment Business by providing any information required to allow the Employment Business to comply with its statutory obligations under the Safeguarding Legislation, and to allow the Employment Business to select a suitable Temporary Resource for the relevant Assignment. </w:t>
      </w:r>
    </w:p>
    <w:p w14:paraId="668978B6" w14:textId="77777777" w:rsidR="00D20C6B" w:rsidRPr="00D20C6B" w:rsidRDefault="00D20C6B" w:rsidP="000C0E31">
      <w:pPr>
        <w:spacing w:after="0" w:line="240" w:lineRule="auto"/>
        <w:ind w:left="924" w:right="284" w:hanging="567"/>
        <w:rPr>
          <w:b/>
        </w:rPr>
      </w:pPr>
    </w:p>
    <w:p w14:paraId="30467610" w14:textId="1DAAB07D" w:rsidR="00704C12" w:rsidRPr="00D87876" w:rsidRDefault="00704C12" w:rsidP="000C0E31">
      <w:pPr>
        <w:pStyle w:val="ListParagraph"/>
        <w:numPr>
          <w:ilvl w:val="1"/>
          <w:numId w:val="18"/>
        </w:numPr>
        <w:tabs>
          <w:tab w:val="left" w:pos="748"/>
          <w:tab w:val="left" w:pos="935"/>
          <w:tab w:val="left" w:pos="1122"/>
        </w:tabs>
        <w:ind w:left="924" w:right="284" w:hanging="567"/>
        <w:jc w:val="left"/>
        <w:rPr>
          <w:b/>
        </w:rPr>
      </w:pPr>
      <w:r w:rsidRPr="00D87876">
        <w:t xml:space="preserve">If the Client removes a Temporary Resource from an Assignment in circumstances which would require the Employment Business to provide information to the Disclosure and Barring Service (or equivalent authority) under the Safeguarding Legislation, the Client will </w:t>
      </w:r>
      <w:r w:rsidR="00256FEE">
        <w:t xml:space="preserve">give </w:t>
      </w:r>
      <w:r w:rsidR="004E5A41">
        <w:t>enough</w:t>
      </w:r>
      <w:r w:rsidRPr="00D87876">
        <w:t xml:space="preserve"> information to the Employment Business to allow it to comply with its statutory obligations. </w:t>
      </w:r>
    </w:p>
    <w:p w14:paraId="26BA2107" w14:textId="6D95E698" w:rsidR="00704C12" w:rsidRPr="00CD127A" w:rsidRDefault="00704C12" w:rsidP="000C0E31">
      <w:pPr>
        <w:pStyle w:val="Heading3"/>
        <w:numPr>
          <w:ilvl w:val="0"/>
          <w:numId w:val="18"/>
        </w:numPr>
      </w:pPr>
      <w:r w:rsidRPr="00CD127A">
        <w:t xml:space="preserve">TERMINATION OF </w:t>
      </w:r>
      <w:r w:rsidR="00F34B8F">
        <w:t>AN</w:t>
      </w:r>
      <w:r w:rsidR="00F34B8F" w:rsidRPr="00CD127A">
        <w:t xml:space="preserve"> </w:t>
      </w:r>
      <w:r w:rsidRPr="00CD127A">
        <w:t>ASSIGNMENT</w:t>
      </w:r>
    </w:p>
    <w:p w14:paraId="4D91C8C8" w14:textId="77777777" w:rsidR="00704C12" w:rsidRPr="00CD127A" w:rsidRDefault="00704C12" w:rsidP="000C0E31">
      <w:pPr>
        <w:spacing w:after="0" w:line="240" w:lineRule="auto"/>
        <w:ind w:right="284"/>
        <w:rPr>
          <w:rFonts w:ascii="Lato" w:hAnsi="Lato"/>
          <w:b/>
        </w:rPr>
      </w:pPr>
    </w:p>
    <w:p w14:paraId="6CD0862F" w14:textId="2CBB3E4E" w:rsidR="00704C12" w:rsidRPr="00D87876" w:rsidRDefault="00704C12" w:rsidP="000C0E31">
      <w:pPr>
        <w:pStyle w:val="ListParagraph"/>
        <w:numPr>
          <w:ilvl w:val="1"/>
          <w:numId w:val="18"/>
        </w:numPr>
        <w:ind w:left="924" w:right="284" w:hanging="567"/>
        <w:jc w:val="left"/>
        <w:rPr>
          <w:b/>
        </w:rPr>
      </w:pPr>
      <w:bookmarkStart w:id="43" w:name="_Ref480379230"/>
      <w:r w:rsidRPr="00D87876">
        <w:t xml:space="preserve">Any of the Client, the Employment Business or the Temporary Resource may terminate an Assignment at any time without prior notice and without liability except where the relevant Assignment Details Form provides for a specified notice period. Otherwise an Assignment will terminate when the </w:t>
      </w:r>
      <w:r w:rsidRPr="00D87876">
        <w:rPr>
          <w:highlight w:val="lightGray"/>
        </w:rPr>
        <w:t>[Client confirms that the]</w:t>
      </w:r>
      <w:r w:rsidRPr="00D87876">
        <w:t xml:space="preserve"> Assignment Services have been completed. However and whenever an Assignment terminates, </w:t>
      </w:r>
      <w:bookmarkEnd w:id="43"/>
      <w:r w:rsidRPr="00D87876">
        <w:t xml:space="preserve">the Client </w:t>
      </w:r>
      <w:r w:rsidR="00E72078">
        <w:t xml:space="preserve">must pay </w:t>
      </w:r>
      <w:r w:rsidRPr="00D87876">
        <w:t xml:space="preserve">any Charges due under clause 6 </w:t>
      </w:r>
      <w:r w:rsidR="006C7F02" w:rsidRPr="00D87876">
        <w:t xml:space="preserve">(Charges) </w:t>
      </w:r>
      <w:r w:rsidRPr="00D87876">
        <w:t xml:space="preserve">above. </w:t>
      </w:r>
    </w:p>
    <w:p w14:paraId="16B897A3" w14:textId="77777777" w:rsidR="00704C12" w:rsidRPr="00CD127A" w:rsidRDefault="00704C12" w:rsidP="000C0E31">
      <w:pPr>
        <w:spacing w:after="0" w:line="240" w:lineRule="auto"/>
        <w:ind w:left="1117" w:right="284" w:hanging="760"/>
        <w:rPr>
          <w:rFonts w:ascii="Lato" w:hAnsi="Lato"/>
        </w:rPr>
      </w:pPr>
    </w:p>
    <w:p w14:paraId="429E04AF" w14:textId="274BE56C" w:rsidR="00704C12" w:rsidRPr="00D87876" w:rsidRDefault="00704C12" w:rsidP="000C0E31">
      <w:pPr>
        <w:pStyle w:val="ListParagraph"/>
        <w:numPr>
          <w:ilvl w:val="1"/>
          <w:numId w:val="18"/>
        </w:numPr>
        <w:ind w:left="924" w:right="284" w:hanging="567"/>
        <w:jc w:val="left"/>
      </w:pPr>
      <w:r w:rsidRPr="00D87876">
        <w:t>Notwithstanding the provisions of clause 11.1</w:t>
      </w:r>
      <w:r w:rsidR="006C7F02" w:rsidRPr="00D87876">
        <w:t>,</w:t>
      </w:r>
      <w:r w:rsidRPr="00D87876">
        <w:t xml:space="preserve"> the Client may terminate </w:t>
      </w:r>
      <w:r w:rsidR="006C7F02" w:rsidRPr="00D87876">
        <w:t xml:space="preserve">an </w:t>
      </w:r>
      <w:r w:rsidRPr="00D87876">
        <w:t>Assignment with immediate effect by notice in writing to the Employment Business where:</w:t>
      </w:r>
    </w:p>
    <w:p w14:paraId="43267774" w14:textId="77777777" w:rsidR="00704C12" w:rsidRPr="00CD127A" w:rsidRDefault="00704C12" w:rsidP="000C0E31">
      <w:pPr>
        <w:pStyle w:val="ListParagraph"/>
        <w:numPr>
          <w:ilvl w:val="0"/>
          <w:numId w:val="0"/>
        </w:numPr>
        <w:ind w:left="1440"/>
        <w:jc w:val="left"/>
        <w:rPr>
          <w:sz w:val="22"/>
          <w:szCs w:val="22"/>
        </w:rPr>
      </w:pPr>
    </w:p>
    <w:p w14:paraId="35C17ABA" w14:textId="265203E3" w:rsidR="00704C12" w:rsidRPr="00D87876" w:rsidRDefault="00704C12" w:rsidP="000C0E31">
      <w:pPr>
        <w:pStyle w:val="ListParagraph"/>
        <w:numPr>
          <w:ilvl w:val="2"/>
          <w:numId w:val="18"/>
        </w:numPr>
        <w:ind w:left="1956" w:right="284" w:hanging="992"/>
        <w:jc w:val="left"/>
      </w:pPr>
      <w:r w:rsidRPr="00D87876">
        <w:t>the relevant Temporary Resource has breach</w:t>
      </w:r>
      <w:r w:rsidR="000E524C">
        <w:t>ed</w:t>
      </w:r>
      <w:r w:rsidRPr="00D87876">
        <w:t xml:space="preserve"> of any statutory or other reasonable rules and regulations applicable to them while providing the Assignment Services; or</w:t>
      </w:r>
    </w:p>
    <w:p w14:paraId="5A8E0663" w14:textId="77777777" w:rsidR="00704C12" w:rsidRPr="00CD127A" w:rsidRDefault="00704C12" w:rsidP="000C0E31">
      <w:pPr>
        <w:spacing w:after="0" w:line="240" w:lineRule="auto"/>
        <w:ind w:left="1985" w:right="284" w:hanging="851"/>
        <w:rPr>
          <w:rFonts w:ascii="Lato" w:hAnsi="Lato"/>
        </w:rPr>
      </w:pPr>
    </w:p>
    <w:p w14:paraId="1597F57C" w14:textId="77777777" w:rsidR="00704C12" w:rsidRPr="00D87876" w:rsidRDefault="00704C12" w:rsidP="000C0E31">
      <w:pPr>
        <w:pStyle w:val="ListParagraph"/>
        <w:numPr>
          <w:ilvl w:val="2"/>
          <w:numId w:val="18"/>
        </w:numPr>
        <w:ind w:left="1956" w:right="284" w:hanging="992"/>
        <w:jc w:val="left"/>
      </w:pPr>
      <w:r w:rsidRPr="00D87876">
        <w:t>the Client reasonably believes that the relevant Temporary Resource has not observed any condition of confidentiality applicable to that Temporary Resource from time to time; or</w:t>
      </w:r>
    </w:p>
    <w:p w14:paraId="01B150A5" w14:textId="77777777" w:rsidR="00704C12" w:rsidRPr="00CD127A" w:rsidRDefault="00704C12" w:rsidP="000C0E31">
      <w:pPr>
        <w:spacing w:after="0" w:line="240" w:lineRule="auto"/>
        <w:ind w:left="1956" w:right="284" w:hanging="992"/>
        <w:rPr>
          <w:rFonts w:ascii="Lato" w:hAnsi="Lato"/>
        </w:rPr>
      </w:pPr>
    </w:p>
    <w:p w14:paraId="0A6F7F12" w14:textId="5F783912" w:rsidR="00704C12" w:rsidRPr="00D87876" w:rsidRDefault="00704C12" w:rsidP="000C0E31">
      <w:pPr>
        <w:pStyle w:val="ListParagraph"/>
        <w:numPr>
          <w:ilvl w:val="2"/>
          <w:numId w:val="18"/>
        </w:numPr>
        <w:ind w:left="1956" w:right="284" w:hanging="992"/>
        <w:jc w:val="left"/>
      </w:pPr>
      <w:r w:rsidRPr="00D87876">
        <w:t>the Client reasonably considers that a Temporary Resource’s provision of the Assignment Services i</w:t>
      </w:r>
      <w:r w:rsidRPr="00B96D36">
        <w:t>s unsatisfactory</w:t>
      </w:r>
      <w:r w:rsidR="000D4054" w:rsidRPr="00B96D36">
        <w:t xml:space="preserve"> or that the Temporary Res</w:t>
      </w:r>
      <w:r w:rsidR="000D4054">
        <w:t>o</w:t>
      </w:r>
      <w:r w:rsidR="000D4054" w:rsidRPr="00B96D36">
        <w:t>urce has not delivered the Specified Deliverables</w:t>
      </w:r>
      <w:r w:rsidRPr="00D87876">
        <w:t>.</w:t>
      </w:r>
    </w:p>
    <w:p w14:paraId="726A80B3" w14:textId="77777777" w:rsidR="00704C12" w:rsidRPr="00CD127A" w:rsidRDefault="00704C12" w:rsidP="000C0E31">
      <w:pPr>
        <w:pStyle w:val="ListParagraph"/>
        <w:numPr>
          <w:ilvl w:val="0"/>
          <w:numId w:val="0"/>
        </w:numPr>
        <w:ind w:left="1440"/>
        <w:jc w:val="left"/>
        <w:rPr>
          <w:sz w:val="22"/>
          <w:szCs w:val="22"/>
        </w:rPr>
      </w:pPr>
    </w:p>
    <w:p w14:paraId="7AD83578" w14:textId="7AA4576D" w:rsidR="00704C12" w:rsidRPr="00D87876" w:rsidRDefault="00704C12" w:rsidP="000C0E31">
      <w:pPr>
        <w:pStyle w:val="ListParagraph"/>
        <w:numPr>
          <w:ilvl w:val="1"/>
          <w:numId w:val="18"/>
        </w:numPr>
        <w:ind w:left="924" w:right="284" w:hanging="567"/>
        <w:jc w:val="left"/>
      </w:pPr>
      <w:bookmarkStart w:id="44" w:name="_Ref480374558"/>
      <w:r w:rsidRPr="00D87876">
        <w:t>The Employment Business may terminate an Assignment with immediate effect by notice in writing if:</w:t>
      </w:r>
      <w:bookmarkEnd w:id="44"/>
    </w:p>
    <w:p w14:paraId="53884796" w14:textId="77777777" w:rsidR="00704C12" w:rsidRPr="00CD127A" w:rsidRDefault="00704C12" w:rsidP="000C0E31">
      <w:pPr>
        <w:spacing w:after="0" w:line="240" w:lineRule="auto"/>
        <w:ind w:left="1134" w:right="284"/>
        <w:rPr>
          <w:rFonts w:ascii="Lato" w:hAnsi="Lato"/>
        </w:rPr>
      </w:pPr>
    </w:p>
    <w:p w14:paraId="2E2F1D3C" w14:textId="521FCD56" w:rsidR="00704C12" w:rsidRPr="00701CD1" w:rsidRDefault="00704C12" w:rsidP="000C0E31">
      <w:pPr>
        <w:pStyle w:val="ListParagraph"/>
        <w:numPr>
          <w:ilvl w:val="2"/>
          <w:numId w:val="18"/>
        </w:numPr>
        <w:ind w:left="1956" w:right="284" w:hanging="992"/>
        <w:jc w:val="left"/>
      </w:pPr>
      <w:bookmarkStart w:id="45" w:name="_Ref487621029"/>
      <w:r w:rsidRPr="00701CD1">
        <w:t xml:space="preserve">the Client is in wilful or persistent breach of its obligations under this Agreement and where the breach is capable of being remedied, </w:t>
      </w:r>
      <w:r w:rsidR="00EF666F">
        <w:t xml:space="preserve">does not </w:t>
      </w:r>
      <w:r w:rsidRPr="00701CD1">
        <w:t>remedy the breach within 7 days of receiving written notice from the Employment Business to do so; or</w:t>
      </w:r>
      <w:bookmarkEnd w:id="45"/>
    </w:p>
    <w:p w14:paraId="6081552C" w14:textId="77777777" w:rsidR="00704C12" w:rsidRPr="00CD127A" w:rsidRDefault="00704C12" w:rsidP="000C0E31">
      <w:pPr>
        <w:spacing w:after="0" w:line="240" w:lineRule="auto"/>
        <w:ind w:left="1956" w:right="284" w:hanging="992"/>
        <w:rPr>
          <w:rFonts w:ascii="Lato" w:hAnsi="Lato"/>
        </w:rPr>
      </w:pPr>
    </w:p>
    <w:p w14:paraId="5CAD52AC" w14:textId="21C30392" w:rsidR="00704C12" w:rsidRPr="00701CD1" w:rsidRDefault="00704C12" w:rsidP="000C0E31">
      <w:pPr>
        <w:pStyle w:val="ListParagraph"/>
        <w:numPr>
          <w:ilvl w:val="2"/>
          <w:numId w:val="18"/>
        </w:numPr>
        <w:ind w:left="1956" w:right="284" w:hanging="992"/>
        <w:jc w:val="left"/>
      </w:pPr>
      <w:r w:rsidRPr="00701CD1">
        <w:rPr>
          <w:bCs/>
          <w:lang w:eastAsia="en-GB"/>
        </w:rPr>
        <w:t xml:space="preserve">the Client </w:t>
      </w:r>
      <w:r w:rsidR="00EF666F">
        <w:rPr>
          <w:bCs/>
          <w:lang w:eastAsia="en-GB"/>
        </w:rPr>
        <w:t>does not</w:t>
      </w:r>
      <w:r w:rsidRPr="00701CD1">
        <w:rPr>
          <w:bCs/>
          <w:lang w:eastAsia="en-GB"/>
        </w:rPr>
        <w:t xml:space="preserve"> pay any amount due to the Employment Business</w:t>
      </w:r>
      <w:r w:rsidR="008D526F">
        <w:rPr>
          <w:bCs/>
          <w:lang w:eastAsia="en-GB"/>
        </w:rPr>
        <w:t>,</w:t>
      </w:r>
      <w:r w:rsidRPr="00701CD1">
        <w:rPr>
          <w:bCs/>
          <w:lang w:eastAsia="en-GB"/>
        </w:rPr>
        <w:t xml:space="preserve"> in full and on the date that the payment falls due; or</w:t>
      </w:r>
    </w:p>
    <w:p w14:paraId="00497A96" w14:textId="77777777" w:rsidR="00704C12" w:rsidRPr="00CD127A" w:rsidRDefault="00704C12" w:rsidP="000C0E31">
      <w:pPr>
        <w:pStyle w:val="ListParagraph"/>
        <w:numPr>
          <w:ilvl w:val="0"/>
          <w:numId w:val="0"/>
        </w:numPr>
        <w:ind w:left="1956" w:right="284" w:hanging="992"/>
        <w:jc w:val="left"/>
        <w:rPr>
          <w:sz w:val="22"/>
          <w:szCs w:val="22"/>
        </w:rPr>
      </w:pPr>
    </w:p>
    <w:p w14:paraId="1DF087C3" w14:textId="6ADDB6A2" w:rsidR="00704C12" w:rsidRPr="00701CD1" w:rsidRDefault="00704C12" w:rsidP="000C0E31">
      <w:pPr>
        <w:pStyle w:val="ListParagraph"/>
        <w:numPr>
          <w:ilvl w:val="2"/>
          <w:numId w:val="18"/>
        </w:numPr>
        <w:ind w:left="1956" w:right="284" w:hanging="992"/>
        <w:jc w:val="left"/>
      </w:pPr>
      <w:r w:rsidRPr="00701CD1">
        <w:t xml:space="preserve">the Client is dissolved, ceases to conduct all (or substantially all) of its business, is or becomes unable to pay its debts as they fall due, is or becomes </w:t>
      </w:r>
      <w:r w:rsidRPr="00701CD1">
        <w:lastRenderedPageBreak/>
        <w:t xml:space="preserve">insolvent or is declared insolvent, or convenes a meeting or makes or proposes to make any arrangement or composition with its creditors; </w:t>
      </w:r>
      <w:r w:rsidR="00DF37D0">
        <w:t>or</w:t>
      </w:r>
    </w:p>
    <w:p w14:paraId="2F951152" w14:textId="77777777" w:rsidR="00704C12" w:rsidRPr="00CD127A" w:rsidRDefault="00704C12" w:rsidP="000C0E31">
      <w:pPr>
        <w:pStyle w:val="ListParagraph"/>
        <w:numPr>
          <w:ilvl w:val="0"/>
          <w:numId w:val="0"/>
        </w:numPr>
        <w:ind w:left="1956" w:right="284" w:hanging="992"/>
        <w:jc w:val="left"/>
        <w:rPr>
          <w:sz w:val="22"/>
          <w:szCs w:val="22"/>
        </w:rPr>
      </w:pPr>
    </w:p>
    <w:p w14:paraId="04C6319D" w14:textId="77777777" w:rsidR="00704C12" w:rsidRPr="00701CD1" w:rsidRDefault="00704C12" w:rsidP="000C0E31">
      <w:pPr>
        <w:pStyle w:val="ListParagraph"/>
        <w:numPr>
          <w:ilvl w:val="2"/>
          <w:numId w:val="18"/>
        </w:numPr>
        <w:ind w:left="1956" w:right="284" w:hanging="992"/>
        <w:jc w:val="left"/>
      </w:pPr>
      <w:r w:rsidRPr="00701CD1">
        <w:t xml:space="preserve">or an administrator, administrative receiver, liquidator, receiver, trustee, manager or similar is appointed over any of the assets of the Client, or an order is made for the winding up of the Client, or where the Client passes a resolution for its winding up (other than for the purpose of a solvent company reorganisation or amalgamation where the resulting entity will assume all the obligations of the other party under this Agreement); or </w:t>
      </w:r>
    </w:p>
    <w:p w14:paraId="4269F7B4" w14:textId="77777777" w:rsidR="00704C12" w:rsidRPr="00CD127A" w:rsidRDefault="00704C12" w:rsidP="000C0E31">
      <w:pPr>
        <w:pStyle w:val="ListParagraph"/>
        <w:numPr>
          <w:ilvl w:val="0"/>
          <w:numId w:val="0"/>
        </w:numPr>
        <w:ind w:left="1956" w:right="284" w:hanging="992"/>
        <w:jc w:val="left"/>
        <w:rPr>
          <w:sz w:val="22"/>
          <w:szCs w:val="22"/>
        </w:rPr>
      </w:pPr>
    </w:p>
    <w:p w14:paraId="7650798C" w14:textId="3D79F8EB" w:rsidR="00704C12" w:rsidRDefault="00704C12" w:rsidP="000C0E31">
      <w:pPr>
        <w:pStyle w:val="ListParagraph"/>
        <w:numPr>
          <w:ilvl w:val="2"/>
          <w:numId w:val="18"/>
        </w:numPr>
        <w:ind w:left="1956" w:right="284" w:hanging="992"/>
        <w:jc w:val="left"/>
      </w:pPr>
      <w:r w:rsidRPr="00701CD1">
        <w:t xml:space="preserve">the Employment Business knows or suspects that the Client is </w:t>
      </w:r>
      <w:r w:rsidR="00E72078">
        <w:t xml:space="preserve">not </w:t>
      </w:r>
      <w:r w:rsidRPr="00701CD1">
        <w:t>an Exempt Organisation</w:t>
      </w:r>
      <w:r w:rsidR="00DF37D0">
        <w:t>; or</w:t>
      </w:r>
      <w:r w:rsidRPr="00701CD1">
        <w:t xml:space="preserve"> </w:t>
      </w:r>
      <w:r w:rsidRPr="00701CD1">
        <w:rPr>
          <w:highlight w:val="lightGray"/>
        </w:rPr>
        <w:t>[</w:t>
      </w:r>
      <w:r w:rsidRPr="00701CD1">
        <w:rPr>
          <w:i/>
          <w:highlight w:val="lightGray"/>
        </w:rPr>
        <w:t>See Note 11</w:t>
      </w:r>
      <w:r w:rsidRPr="00701CD1">
        <w:rPr>
          <w:highlight w:val="lightGray"/>
        </w:rPr>
        <w:t>]</w:t>
      </w:r>
    </w:p>
    <w:p w14:paraId="74352D95" w14:textId="77777777" w:rsidR="006F2347" w:rsidRDefault="006F2347" w:rsidP="006F2347">
      <w:pPr>
        <w:pStyle w:val="ListParagraph"/>
        <w:numPr>
          <w:ilvl w:val="0"/>
          <w:numId w:val="0"/>
        </w:numPr>
        <w:ind w:left="360"/>
      </w:pPr>
    </w:p>
    <w:p w14:paraId="607E491B" w14:textId="2C7530A0" w:rsidR="006F2347" w:rsidRDefault="00704C12" w:rsidP="006F2347">
      <w:pPr>
        <w:pStyle w:val="ListParagraph"/>
        <w:numPr>
          <w:ilvl w:val="2"/>
          <w:numId w:val="18"/>
        </w:numPr>
        <w:ind w:left="1956" w:right="284" w:hanging="992"/>
        <w:jc w:val="left"/>
      </w:pPr>
      <w:r w:rsidRPr="00701CD1">
        <w:t xml:space="preserve">the Employment Business knows or suspects that the PSC </w:t>
      </w:r>
      <w:r w:rsidR="00723A41">
        <w:t xml:space="preserve">or Intermediary Staff </w:t>
      </w:r>
      <w:r w:rsidRPr="00701CD1">
        <w:t xml:space="preserve">work under (or subject to the right of) supervision, direction or control of any person as to the manner in which they provide the Assignment Services, in breach of this Agreement; or </w:t>
      </w:r>
      <w:r w:rsidR="006F2347" w:rsidRPr="006F2347">
        <w:rPr>
          <w:highlight w:val="lightGray"/>
        </w:rPr>
        <w:t>[</w:t>
      </w:r>
      <w:r w:rsidR="006F2347" w:rsidRPr="006F2347">
        <w:rPr>
          <w:i/>
          <w:highlight w:val="lightGray"/>
        </w:rPr>
        <w:t>see Note 52</w:t>
      </w:r>
      <w:r w:rsidR="006F2347" w:rsidRPr="006F2347">
        <w:rPr>
          <w:highlight w:val="lightGray"/>
        </w:rPr>
        <w:t>]</w:t>
      </w:r>
    </w:p>
    <w:p w14:paraId="67C78086" w14:textId="77777777" w:rsidR="006F2347" w:rsidRDefault="006F2347" w:rsidP="006F2347">
      <w:pPr>
        <w:pStyle w:val="ListParagraph"/>
        <w:numPr>
          <w:ilvl w:val="0"/>
          <w:numId w:val="0"/>
        </w:numPr>
        <w:ind w:left="360"/>
      </w:pPr>
    </w:p>
    <w:p w14:paraId="0FF6D0CB" w14:textId="5BBC6FC1" w:rsidR="006F2347" w:rsidRDefault="00704C12" w:rsidP="006F2347">
      <w:pPr>
        <w:pStyle w:val="ListParagraph"/>
        <w:numPr>
          <w:ilvl w:val="2"/>
          <w:numId w:val="18"/>
        </w:numPr>
        <w:ind w:left="1956" w:right="284" w:hanging="992"/>
        <w:jc w:val="left"/>
      </w:pPr>
      <w:r w:rsidRPr="00701CD1">
        <w:t xml:space="preserve">the Client </w:t>
      </w:r>
      <w:r w:rsidR="00EF666F">
        <w:t xml:space="preserve">does not give </w:t>
      </w:r>
      <w:r w:rsidRPr="00701CD1">
        <w:t xml:space="preserve">accurate and sufficient evidence that the </w:t>
      </w:r>
      <w:r w:rsidR="008B51FD" w:rsidRPr="00701CD1">
        <w:t xml:space="preserve">PSC </w:t>
      </w:r>
      <w:r w:rsidR="00723A41">
        <w:t xml:space="preserve">or Intermediary Staff </w:t>
      </w:r>
      <w:r w:rsidR="008B51FD" w:rsidRPr="00701CD1">
        <w:t>do</w:t>
      </w:r>
      <w:r w:rsidRPr="00701CD1">
        <w:t xml:space="preserve"> not work under (or subject to the right of) supervision, direction or control of any person as to the manner in which it provides </w:t>
      </w:r>
      <w:r w:rsidR="004D42C1" w:rsidRPr="00701CD1">
        <w:t>the Assignment</w:t>
      </w:r>
      <w:r w:rsidRPr="00701CD1">
        <w:t xml:space="preserve"> Services; or </w:t>
      </w:r>
      <w:r w:rsidR="006F2347" w:rsidRPr="006F2347">
        <w:rPr>
          <w:highlight w:val="lightGray"/>
        </w:rPr>
        <w:t>[</w:t>
      </w:r>
      <w:r w:rsidR="006F2347" w:rsidRPr="006F2347">
        <w:rPr>
          <w:i/>
          <w:highlight w:val="lightGray"/>
        </w:rPr>
        <w:t>see Note 52</w:t>
      </w:r>
      <w:r w:rsidR="006F2347" w:rsidRPr="006F2347">
        <w:rPr>
          <w:highlight w:val="lightGray"/>
        </w:rPr>
        <w:t>]</w:t>
      </w:r>
    </w:p>
    <w:p w14:paraId="0AB4C089" w14:textId="77777777" w:rsidR="006F2347" w:rsidRDefault="006F2347" w:rsidP="006F2347">
      <w:pPr>
        <w:pStyle w:val="ListParagraph"/>
        <w:numPr>
          <w:ilvl w:val="0"/>
          <w:numId w:val="0"/>
        </w:numPr>
        <w:ind w:left="360"/>
      </w:pPr>
    </w:p>
    <w:p w14:paraId="21039D42" w14:textId="3C6F751E" w:rsidR="00704C12" w:rsidRPr="008B51FD" w:rsidRDefault="000D4054" w:rsidP="006F2347">
      <w:pPr>
        <w:pStyle w:val="ListParagraph"/>
        <w:numPr>
          <w:ilvl w:val="2"/>
          <w:numId w:val="18"/>
        </w:numPr>
        <w:ind w:left="1956" w:right="284" w:hanging="992"/>
        <w:jc w:val="left"/>
      </w:pPr>
      <w:r>
        <w:t xml:space="preserve">either </w:t>
      </w:r>
      <w:r w:rsidR="00704C12" w:rsidRPr="008B51FD">
        <w:t xml:space="preserve">the Client </w:t>
      </w:r>
      <w:r>
        <w:t xml:space="preserve">or the PSC </w:t>
      </w:r>
      <w:r w:rsidR="00E84824">
        <w:t xml:space="preserve">gives </w:t>
      </w:r>
      <w:r w:rsidR="00704C12" w:rsidRPr="008B51FD">
        <w:t xml:space="preserve">the Employment Business a document which fraudulently states that the PSC </w:t>
      </w:r>
      <w:r w:rsidR="00723A41">
        <w:t>or Intermediary Staff do</w:t>
      </w:r>
      <w:r w:rsidR="00704C12" w:rsidRPr="008B51FD">
        <w:t xml:space="preserve"> not work under (or is not subject to) the supervision, direction or control of any person as to the manner in which they provide the Assignment Services; or </w:t>
      </w:r>
      <w:r w:rsidR="006F2347" w:rsidRPr="006F2347">
        <w:rPr>
          <w:highlight w:val="lightGray"/>
        </w:rPr>
        <w:t>[</w:t>
      </w:r>
      <w:r w:rsidR="006F2347" w:rsidRPr="006F2347">
        <w:rPr>
          <w:i/>
          <w:highlight w:val="lightGray"/>
        </w:rPr>
        <w:t>see Note 52</w:t>
      </w:r>
      <w:r w:rsidR="006F2347" w:rsidRPr="006F2347">
        <w:rPr>
          <w:highlight w:val="lightGray"/>
        </w:rPr>
        <w:t>]</w:t>
      </w:r>
    </w:p>
    <w:p w14:paraId="22B4BE5A" w14:textId="77777777" w:rsidR="00704C12" w:rsidRPr="00CD127A" w:rsidRDefault="00704C12" w:rsidP="000C0E31">
      <w:pPr>
        <w:spacing w:after="0" w:line="240" w:lineRule="auto"/>
        <w:ind w:left="1494" w:right="284"/>
        <w:rPr>
          <w:rFonts w:ascii="Lato" w:hAnsi="Lato"/>
        </w:rPr>
      </w:pPr>
    </w:p>
    <w:p w14:paraId="10D10C1B" w14:textId="4BEBA969" w:rsidR="00403FB7" w:rsidRDefault="00403FB7" w:rsidP="00403FB7">
      <w:pPr>
        <w:pStyle w:val="ListParagraph"/>
        <w:numPr>
          <w:ilvl w:val="2"/>
          <w:numId w:val="18"/>
        </w:numPr>
        <w:ind w:left="1956" w:right="284" w:hanging="992"/>
        <w:jc w:val="left"/>
      </w:pPr>
      <w:r w:rsidRPr="00170470">
        <w:t xml:space="preserve">where the Temporary Resource works through a PSC, </w:t>
      </w:r>
      <w:r>
        <w:t xml:space="preserve">the Employment Business knows or suspect that </w:t>
      </w:r>
      <w:r w:rsidRPr="00170470">
        <w:t>the Temporary Resource no longer meets the Conditions of Liability;</w:t>
      </w:r>
    </w:p>
    <w:p w14:paraId="2A6886B3" w14:textId="77777777" w:rsidR="00403FB7" w:rsidRDefault="00403FB7" w:rsidP="00403FB7">
      <w:pPr>
        <w:pStyle w:val="ListParagraph"/>
        <w:numPr>
          <w:ilvl w:val="0"/>
          <w:numId w:val="0"/>
        </w:numPr>
        <w:ind w:left="360"/>
      </w:pPr>
    </w:p>
    <w:p w14:paraId="4A673654" w14:textId="17382C7C" w:rsidR="00704C12" w:rsidRPr="004D42C1" w:rsidRDefault="00704C12" w:rsidP="000C0E31">
      <w:pPr>
        <w:pStyle w:val="ListParagraph"/>
        <w:numPr>
          <w:ilvl w:val="2"/>
          <w:numId w:val="18"/>
        </w:numPr>
        <w:ind w:left="1956" w:right="284" w:hanging="992"/>
        <w:jc w:val="left"/>
      </w:pPr>
      <w:r w:rsidRPr="004D42C1">
        <w:t xml:space="preserve">the Employment Business knows or suspects that the Client has breached the Data Protection Laws. </w:t>
      </w:r>
      <w:r w:rsidRPr="004D42C1">
        <w:rPr>
          <w:highlight w:val="lightGray"/>
        </w:rPr>
        <w:t>[</w:t>
      </w:r>
      <w:r w:rsidRPr="004D42C1">
        <w:rPr>
          <w:i/>
          <w:highlight w:val="lightGray"/>
        </w:rPr>
        <w:t>see Note 5</w:t>
      </w:r>
      <w:r w:rsidR="00D90322">
        <w:rPr>
          <w:i/>
          <w:highlight w:val="lightGray"/>
        </w:rPr>
        <w:t>3</w:t>
      </w:r>
      <w:r w:rsidRPr="004D42C1">
        <w:rPr>
          <w:highlight w:val="lightGray"/>
        </w:rPr>
        <w:t>]</w:t>
      </w:r>
      <w:r w:rsidRPr="004D42C1">
        <w:t xml:space="preserve"> </w:t>
      </w:r>
    </w:p>
    <w:p w14:paraId="749BFEC4" w14:textId="77777777" w:rsidR="00704C12" w:rsidRPr="00CD127A" w:rsidRDefault="00704C12" w:rsidP="000C0E31">
      <w:pPr>
        <w:pStyle w:val="Heading3"/>
        <w:numPr>
          <w:ilvl w:val="0"/>
          <w:numId w:val="18"/>
        </w:numPr>
      </w:pPr>
      <w:r w:rsidRPr="00CD127A">
        <w:t>CONFIDENTIALITY AND DATA PROTECTION</w:t>
      </w:r>
    </w:p>
    <w:p w14:paraId="1F89A5A2" w14:textId="77777777" w:rsidR="00704C12" w:rsidRPr="00CD127A" w:rsidRDefault="00704C12" w:rsidP="000C0E31">
      <w:pPr>
        <w:spacing w:after="0" w:line="240" w:lineRule="auto"/>
        <w:ind w:right="284"/>
        <w:rPr>
          <w:rFonts w:ascii="Lato" w:hAnsi="Lato"/>
          <w:b/>
        </w:rPr>
      </w:pPr>
    </w:p>
    <w:p w14:paraId="7EA3F836" w14:textId="77777777" w:rsidR="00704C12" w:rsidRPr="004D42C1" w:rsidRDefault="00704C12" w:rsidP="000C0E31">
      <w:pPr>
        <w:pStyle w:val="ListParagraph"/>
        <w:numPr>
          <w:ilvl w:val="1"/>
          <w:numId w:val="18"/>
        </w:numPr>
        <w:ind w:left="924" w:right="284" w:hanging="567"/>
        <w:jc w:val="left"/>
        <w:rPr>
          <w:b/>
        </w:rPr>
      </w:pPr>
      <w:r w:rsidRPr="004D42C1">
        <w:t xml:space="preserve">All information relating to a Temporary Resource is confidential and where that information relates to an individual is also subject to the Data Protection Laws and is provided solely for the purpose of providing Assignment Services to the Client. Such information must not be used for any other purpose nor divulged to any third party and the Client undertakes to abide by the provisions of the Data Protection Laws in receiving and processing the information at all times. </w:t>
      </w:r>
    </w:p>
    <w:p w14:paraId="737630F1" w14:textId="77777777" w:rsidR="00704C12" w:rsidRPr="00CD127A" w:rsidRDefault="00704C12" w:rsidP="000C0E31">
      <w:pPr>
        <w:spacing w:after="0" w:line="240" w:lineRule="auto"/>
        <w:ind w:left="924" w:right="284" w:hanging="567"/>
        <w:rPr>
          <w:rFonts w:ascii="Lato" w:hAnsi="Lato"/>
          <w:b/>
        </w:rPr>
      </w:pPr>
    </w:p>
    <w:p w14:paraId="7CC216EE" w14:textId="15A39D62" w:rsidR="00704C12" w:rsidRPr="004D42C1" w:rsidRDefault="000D4054" w:rsidP="000C0E31">
      <w:pPr>
        <w:pStyle w:val="ListParagraph"/>
        <w:numPr>
          <w:ilvl w:val="1"/>
          <w:numId w:val="18"/>
        </w:numPr>
        <w:ind w:left="924" w:right="284" w:hanging="567"/>
        <w:jc w:val="left"/>
        <w:rPr>
          <w:b/>
        </w:rPr>
      </w:pPr>
      <w:r>
        <w:t>The Client must keep confidential all i</w:t>
      </w:r>
      <w:r w:rsidR="00704C12" w:rsidRPr="004D42C1">
        <w:t xml:space="preserve">nformation relating to the Employment Business’s business which is capable of being confidential and </w:t>
      </w:r>
      <w:r>
        <w:t xml:space="preserve">must </w:t>
      </w:r>
      <w:r w:rsidR="00704C12" w:rsidRPr="004D42C1">
        <w:t>not divulge</w:t>
      </w:r>
      <w:r>
        <w:t xml:space="preserve"> such information</w:t>
      </w:r>
      <w:r w:rsidR="00704C12" w:rsidRPr="004D42C1">
        <w:t xml:space="preserve"> to any third party, except information which is in the public domain. </w:t>
      </w:r>
    </w:p>
    <w:p w14:paraId="19594A8F" w14:textId="77777777" w:rsidR="00DF37D0" w:rsidRDefault="00704C12" w:rsidP="000C0E31">
      <w:pPr>
        <w:pStyle w:val="Heading3"/>
        <w:numPr>
          <w:ilvl w:val="0"/>
          <w:numId w:val="18"/>
        </w:numPr>
      </w:pPr>
      <w:r w:rsidRPr="00CD127A">
        <w:t>INTELLECTUAL PROPERTY RIGHTS</w:t>
      </w:r>
    </w:p>
    <w:p w14:paraId="370FB441" w14:textId="0D8BD97B" w:rsidR="00DF37D0" w:rsidRPr="00DF37D0" w:rsidRDefault="00704C12" w:rsidP="00DF37D0">
      <w:pPr>
        <w:pStyle w:val="Heading3"/>
        <w:numPr>
          <w:ilvl w:val="1"/>
          <w:numId w:val="18"/>
        </w:numPr>
        <w:ind w:left="924" w:hanging="567"/>
        <w:rPr>
          <w:color w:val="auto"/>
          <w:sz w:val="20"/>
          <w:szCs w:val="20"/>
        </w:rPr>
      </w:pPr>
      <w:r w:rsidRPr="00DF37D0">
        <w:rPr>
          <w:color w:val="auto"/>
          <w:sz w:val="20"/>
          <w:szCs w:val="20"/>
        </w:rPr>
        <w:lastRenderedPageBreak/>
        <w:t xml:space="preserve"> </w:t>
      </w:r>
      <w:r w:rsidR="00DF37D0" w:rsidRPr="00DF37D0">
        <w:rPr>
          <w:color w:val="auto"/>
          <w:sz w:val="20"/>
          <w:szCs w:val="20"/>
        </w:rPr>
        <w:t xml:space="preserve">All copyright, trademarks, patents and other intellectual property rights resulting from the provision of any Assignment Services by a Temporary Resource or any third party to whom the Assignment Services are assigned or sub-contracted, shall belong to the Client, except such rights expressly owned or retained by the relevant Temporary Resource or assignee or sub-contractor, and set out in the relevant Assignment Details Form. </w:t>
      </w:r>
    </w:p>
    <w:p w14:paraId="3CF6A165" w14:textId="3EBE70EC" w:rsidR="00704C12" w:rsidRPr="00DF37D0" w:rsidRDefault="00DF37D0" w:rsidP="00DF37D0">
      <w:pPr>
        <w:pStyle w:val="Heading3"/>
        <w:numPr>
          <w:ilvl w:val="1"/>
          <w:numId w:val="18"/>
        </w:numPr>
        <w:ind w:left="924" w:hanging="567"/>
        <w:rPr>
          <w:color w:val="auto"/>
          <w:sz w:val="20"/>
          <w:szCs w:val="20"/>
        </w:rPr>
      </w:pPr>
      <w:r w:rsidRPr="00DF37D0">
        <w:rPr>
          <w:color w:val="auto"/>
          <w:sz w:val="20"/>
          <w:szCs w:val="20"/>
        </w:rPr>
        <w:t xml:space="preserve">The Employment Business shall use its reasonable endeavours to ensure that a Temporary Resource shall (and any relevant member of an Intermediary shall) execute all such documents and do all such acts in order to give effect to the Client’s rights under to this clause. </w:t>
      </w:r>
    </w:p>
    <w:p w14:paraId="01776D1B" w14:textId="77777777" w:rsidR="00704C12" w:rsidRPr="00CD127A" w:rsidRDefault="00704C12" w:rsidP="000C0E31">
      <w:pPr>
        <w:pStyle w:val="Heading3"/>
        <w:numPr>
          <w:ilvl w:val="0"/>
          <w:numId w:val="18"/>
        </w:numPr>
      </w:pPr>
      <w:r w:rsidRPr="00CD127A">
        <w:t xml:space="preserve">LIABILITY </w:t>
      </w:r>
    </w:p>
    <w:p w14:paraId="5DA14733" w14:textId="77777777" w:rsidR="00704C12" w:rsidRPr="00CD127A" w:rsidRDefault="00704C12" w:rsidP="000C0E31">
      <w:pPr>
        <w:spacing w:after="0" w:line="240" w:lineRule="auto"/>
        <w:ind w:right="284"/>
        <w:rPr>
          <w:rFonts w:ascii="Lato" w:hAnsi="Lato"/>
          <w:b/>
        </w:rPr>
      </w:pPr>
    </w:p>
    <w:p w14:paraId="0F3557AF" w14:textId="6F71CF95" w:rsidR="00704C12" w:rsidRPr="004D42C1" w:rsidRDefault="00704C12" w:rsidP="000C0E31">
      <w:pPr>
        <w:pStyle w:val="ListParagraph"/>
        <w:numPr>
          <w:ilvl w:val="1"/>
          <w:numId w:val="18"/>
        </w:numPr>
        <w:ind w:left="924" w:right="284" w:hanging="567"/>
        <w:jc w:val="left"/>
        <w:rPr>
          <w:b/>
        </w:rPr>
      </w:pPr>
      <w:r w:rsidRPr="004D42C1">
        <w:t>Whilst the Employment Business makes reasonable efforts to give satisfaction to the Client by ensuring reasonable standards of skills, integrity and reliability from a Temporary Resource and to provide the same in accordance with the Assignment details as provided by the Client, the Employment Business does not accept liability for any Losses made by the Client, arising from the failure to provide a Temporary Resource</w:t>
      </w:r>
      <w:r w:rsidR="00084EBB" w:rsidRPr="004D42C1">
        <w:t>,</w:t>
      </w:r>
      <w:r w:rsidRPr="004D42C1">
        <w:t xml:space="preserve"> for completion of the Assignment</w:t>
      </w:r>
      <w:r w:rsidR="003536DB">
        <w:t xml:space="preserve">, </w:t>
      </w:r>
      <w:r w:rsidR="00084EBB" w:rsidRPr="004D42C1">
        <w:t xml:space="preserve">the Assignment Services, </w:t>
      </w:r>
      <w:r w:rsidR="003536DB">
        <w:t xml:space="preserve">or the Specified Deliverables, </w:t>
      </w:r>
      <w:r w:rsidRPr="004D42C1">
        <w:t xml:space="preserve">or from the negligence, dishonesty, misconduct or lack of skill of a Temporary Resource or if a Temporary Resource terminates the Assignment for any reason. </w:t>
      </w:r>
      <w:r w:rsidR="00F00DCF">
        <w:t>T</w:t>
      </w:r>
      <w:r w:rsidRPr="004D42C1">
        <w:t xml:space="preserve">he Employment Business does not exclude liability for death or personal injury arising from its own negligence or for any other loss which it is not permitted to exclude under law. </w:t>
      </w:r>
    </w:p>
    <w:p w14:paraId="0C717F96" w14:textId="77777777" w:rsidR="00704C12" w:rsidRPr="00CD127A" w:rsidRDefault="00704C12" w:rsidP="000C0E31">
      <w:pPr>
        <w:spacing w:after="0" w:line="240" w:lineRule="auto"/>
        <w:ind w:left="924" w:right="284" w:hanging="567"/>
        <w:rPr>
          <w:rFonts w:ascii="Lato" w:hAnsi="Lato"/>
          <w:b/>
        </w:rPr>
      </w:pPr>
    </w:p>
    <w:p w14:paraId="79385B01" w14:textId="34D27B30" w:rsidR="00704C12" w:rsidRPr="004D42C1" w:rsidRDefault="00084EBB" w:rsidP="000C0E31">
      <w:pPr>
        <w:pStyle w:val="ListParagraph"/>
        <w:numPr>
          <w:ilvl w:val="1"/>
          <w:numId w:val="18"/>
        </w:numPr>
        <w:ind w:left="924" w:right="284" w:hanging="567"/>
        <w:jc w:val="left"/>
      </w:pPr>
      <w:bookmarkStart w:id="46" w:name="_Ref449367720"/>
      <w:bookmarkStart w:id="47" w:name="_Ref487020801"/>
      <w:r w:rsidRPr="004D42C1">
        <w:t>Subject to clause 14.3, u</w:t>
      </w:r>
      <w:r w:rsidR="00704C12" w:rsidRPr="004D42C1">
        <w:t>nless expressly stated otherwise, Temporary Resources supplied by the Employment Business under this Agreement are engaged under contracts for services. They are not the employees of the Employment Business but are deemed to be under the supervision and direction of the Client from the time they report to take up duties and for the duration of the Assignment. The Client agrees to be responsible for all acts, errors or omissions of a Temporary Resource, whether wilful, negligent or otherwise as though the Temporary Resource was on the payroll of the Client.</w:t>
      </w:r>
      <w:bookmarkEnd w:id="46"/>
      <w:r w:rsidR="00704C12" w:rsidRPr="004D42C1">
        <w:t xml:space="preserve"> </w:t>
      </w:r>
    </w:p>
    <w:p w14:paraId="02083A71" w14:textId="77777777" w:rsidR="00704C12" w:rsidRPr="00CD127A" w:rsidRDefault="00704C12" w:rsidP="000C0E31">
      <w:pPr>
        <w:spacing w:after="0" w:line="240" w:lineRule="auto"/>
        <w:ind w:left="924" w:right="284" w:hanging="567"/>
        <w:rPr>
          <w:rFonts w:ascii="Lato" w:hAnsi="Lato"/>
        </w:rPr>
      </w:pPr>
    </w:p>
    <w:p w14:paraId="10B6A4F2" w14:textId="4476BE2B" w:rsidR="00704C12" w:rsidRPr="00AC74F5" w:rsidRDefault="00704C12" w:rsidP="000C0E31">
      <w:pPr>
        <w:pStyle w:val="ListParagraph"/>
        <w:numPr>
          <w:ilvl w:val="1"/>
          <w:numId w:val="18"/>
        </w:numPr>
        <w:ind w:left="924" w:right="284" w:hanging="567"/>
        <w:jc w:val="left"/>
      </w:pPr>
      <w:r w:rsidRPr="00AC74F5">
        <w:t xml:space="preserve">The Client warrants that neither it nor the Employment Business do (or have the right to) supervise, direct or control a Temporary Resource working through a PSC as to the manner in which they provide the relevant Assignment Services. The Client will notify the Employment Business in writing if it exercises </w:t>
      </w:r>
      <w:r w:rsidR="000D4054" w:rsidRPr="00AC74F5">
        <w:t xml:space="preserve">or seeks the right to exercise </w:t>
      </w:r>
      <w:r w:rsidRPr="00AC74F5">
        <w:t>supervision, direction or control</w:t>
      </w:r>
      <w:r w:rsidR="000D4054" w:rsidRPr="00AC74F5">
        <w:t xml:space="preserve"> over </w:t>
      </w:r>
      <w:r w:rsidRPr="00AC74F5">
        <w:t xml:space="preserve">a Temporary Resource working through a PSC, in which case the Employment Business may terminate the </w:t>
      </w:r>
      <w:r w:rsidR="00084EBB" w:rsidRPr="00AC74F5">
        <w:t xml:space="preserve">relevant </w:t>
      </w:r>
      <w:r w:rsidRPr="00AC74F5">
        <w:t xml:space="preserve">Agreement and/or any Assignments under the Agreement in accordance with clause </w:t>
      </w:r>
      <w:r w:rsidRPr="00E3492A">
        <w:fldChar w:fldCharType="begin"/>
      </w:r>
      <w:r w:rsidRPr="00AC74F5">
        <w:instrText xml:space="preserve"> REF _Ref480374558 \r \h  \* MERGEFORMAT </w:instrText>
      </w:r>
      <w:r w:rsidRPr="00E3492A">
        <w:fldChar w:fldCharType="separate"/>
      </w:r>
      <w:r w:rsidR="00A46FED">
        <w:t>11.3</w:t>
      </w:r>
      <w:r w:rsidRPr="00E3492A">
        <w:fldChar w:fldCharType="end"/>
      </w:r>
      <w:r w:rsidRPr="00AC74F5">
        <w:t xml:space="preserve">. </w:t>
      </w:r>
      <w:r w:rsidRPr="003536DB">
        <w:rPr>
          <w:highlight w:val="lightGray"/>
        </w:rPr>
        <w:t>[</w:t>
      </w:r>
      <w:r w:rsidRPr="003536DB">
        <w:rPr>
          <w:i/>
          <w:highlight w:val="lightGray"/>
        </w:rPr>
        <w:t>see Note 5</w:t>
      </w:r>
      <w:r w:rsidR="00D90322">
        <w:rPr>
          <w:i/>
          <w:highlight w:val="lightGray"/>
        </w:rPr>
        <w:t>4</w:t>
      </w:r>
      <w:r w:rsidRPr="003536DB">
        <w:rPr>
          <w:highlight w:val="lightGray"/>
        </w:rPr>
        <w:t>]</w:t>
      </w:r>
      <w:r w:rsidRPr="00AC74F5">
        <w:t xml:space="preserve"> </w:t>
      </w:r>
      <w:bookmarkEnd w:id="47"/>
    </w:p>
    <w:p w14:paraId="49E28B9E" w14:textId="77777777" w:rsidR="00704C12" w:rsidRPr="00CD127A" w:rsidRDefault="00704C12" w:rsidP="000C0E31">
      <w:pPr>
        <w:pStyle w:val="ListParagraph"/>
        <w:numPr>
          <w:ilvl w:val="0"/>
          <w:numId w:val="0"/>
        </w:numPr>
        <w:ind w:left="924" w:right="284" w:hanging="567"/>
        <w:jc w:val="left"/>
        <w:rPr>
          <w:sz w:val="22"/>
          <w:szCs w:val="22"/>
        </w:rPr>
      </w:pPr>
    </w:p>
    <w:p w14:paraId="1313039E" w14:textId="4AF24456" w:rsidR="00704C12" w:rsidRPr="004D42C1" w:rsidRDefault="00704C12" w:rsidP="000C0E31">
      <w:pPr>
        <w:pStyle w:val="ListParagraph"/>
        <w:numPr>
          <w:ilvl w:val="1"/>
          <w:numId w:val="18"/>
        </w:numPr>
        <w:tabs>
          <w:tab w:val="left" w:pos="400"/>
        </w:tabs>
        <w:ind w:left="924" w:right="284" w:hanging="567"/>
        <w:jc w:val="left"/>
      </w:pPr>
      <w:bookmarkStart w:id="48" w:name="_Ref449367730"/>
      <w:r w:rsidRPr="004D42C1">
        <w:t>The Client will als</w:t>
      </w:r>
      <w:r w:rsidR="00685BDA" w:rsidRPr="004D42C1">
        <w:t>o</w:t>
      </w:r>
      <w:r w:rsidRPr="004D42C1">
        <w:t xml:space="preserve"> comply in all respects with all statutory provisions as are in force from time to time including,  but not limited to the </w:t>
      </w:r>
      <w:proofErr w:type="spellStart"/>
      <w:r w:rsidRPr="004D42C1">
        <w:t>WTR</w:t>
      </w:r>
      <w:proofErr w:type="spellEnd"/>
      <w:r w:rsidRPr="004D42C1">
        <w:t xml:space="preserve">, the Data Protection Laws, Health and Safety at Work etc. Act 1974, the Management of Health and Safety at Work Regulations 1999 </w:t>
      </w:r>
      <w:r w:rsidRPr="004D42C1">
        <w:rPr>
          <w:highlight w:val="lightGray"/>
        </w:rPr>
        <w:t>[or the Health and Safety at work (Northern Ireland) Order 1978 and the management of Health and Safety at Work (Northern Ireland) Regulations 2000]</w:t>
      </w:r>
      <w:r w:rsidRPr="004D42C1">
        <w:t xml:space="preserve"> (as amended), by-laws, codes of practice and legal requirements to which the Client is ordinarily subject in respect of the Client’s own staff (excluding the matters specifically mentioned in clause</w:t>
      </w:r>
      <w:r w:rsidR="006659E6" w:rsidRPr="004D42C1">
        <w:t xml:space="preserve"> 7 (Paying a Temporary Resource)</w:t>
      </w:r>
      <w:r w:rsidRPr="004D42C1">
        <w:t xml:space="preserve">, including in particular the provision of adequate Employer’s and Public Liability Insurance cover for all Temporary Resources during all Assignments. </w:t>
      </w:r>
      <w:r w:rsidRPr="004D42C1">
        <w:rPr>
          <w:highlight w:val="lightGray"/>
        </w:rPr>
        <w:t>[</w:t>
      </w:r>
      <w:r w:rsidRPr="004D42C1">
        <w:rPr>
          <w:i/>
          <w:highlight w:val="lightGray"/>
        </w:rPr>
        <w:t>see Note 5</w:t>
      </w:r>
      <w:r w:rsidR="00D90322">
        <w:rPr>
          <w:i/>
          <w:highlight w:val="lightGray"/>
        </w:rPr>
        <w:t>5</w:t>
      </w:r>
      <w:r w:rsidRPr="004D42C1">
        <w:rPr>
          <w:highlight w:val="lightGray"/>
        </w:rPr>
        <w:t>]</w:t>
      </w:r>
      <w:bookmarkEnd w:id="48"/>
    </w:p>
    <w:p w14:paraId="5B7E885B" w14:textId="77777777" w:rsidR="00704C12" w:rsidRPr="00CD127A" w:rsidRDefault="00704C12" w:rsidP="000C0E31">
      <w:pPr>
        <w:spacing w:after="0" w:line="240" w:lineRule="auto"/>
        <w:ind w:left="924" w:right="284" w:hanging="567"/>
        <w:rPr>
          <w:rFonts w:ascii="Lato" w:hAnsi="Lato"/>
          <w:b/>
        </w:rPr>
      </w:pPr>
    </w:p>
    <w:p w14:paraId="20420199" w14:textId="77777777" w:rsidR="00704C12" w:rsidRPr="004D42C1" w:rsidRDefault="00704C12" w:rsidP="000C0E31">
      <w:pPr>
        <w:pStyle w:val="ListParagraph"/>
        <w:numPr>
          <w:ilvl w:val="1"/>
          <w:numId w:val="18"/>
        </w:numPr>
        <w:ind w:left="924" w:right="284" w:hanging="567"/>
        <w:jc w:val="left"/>
        <w:rPr>
          <w:b/>
        </w:rPr>
      </w:pPr>
      <w:r w:rsidRPr="004D42C1">
        <w:lastRenderedPageBreak/>
        <w:t>The Client will comply in all respects with all relevant statutes, by-laws, codes of practice and legal requirements including the provision of adequate public liability insurance in respect of a Temporary Resource.</w:t>
      </w:r>
    </w:p>
    <w:p w14:paraId="1F440BB2" w14:textId="77777777" w:rsidR="00704C12" w:rsidRPr="006659E6" w:rsidRDefault="00704C12" w:rsidP="000C0E31">
      <w:pPr>
        <w:spacing w:after="0" w:line="240" w:lineRule="auto"/>
        <w:ind w:left="924" w:right="284" w:hanging="567"/>
        <w:rPr>
          <w:b/>
        </w:rPr>
      </w:pPr>
    </w:p>
    <w:p w14:paraId="10817F96" w14:textId="04D5D1C2" w:rsidR="00704C12" w:rsidRPr="004D42C1" w:rsidRDefault="00704C12" w:rsidP="000C0E31">
      <w:pPr>
        <w:pStyle w:val="ListParagraph"/>
        <w:numPr>
          <w:ilvl w:val="1"/>
          <w:numId w:val="18"/>
        </w:numPr>
        <w:ind w:left="924" w:right="284" w:hanging="567"/>
        <w:jc w:val="left"/>
        <w:rPr>
          <w:b/>
        </w:rPr>
      </w:pPr>
      <w:r w:rsidRPr="004D42C1">
        <w:t>The Client shall indemnify and keep indemnified the Employment Business against any Losses incurred by the Employment Business by reason of any proceedings, claims or demands by any third party</w:t>
      </w:r>
      <w:r w:rsidRPr="004D42C1">
        <w:rPr>
          <w:shd w:val="clear" w:color="auto" w:fill="FFFFFF"/>
        </w:rPr>
        <w:t xml:space="preserve"> </w:t>
      </w:r>
      <w:r w:rsidRPr="004D42C1">
        <w:t xml:space="preserve">(including specifically, but without limitation, HMRC and any successor, equivalent or related body pursuant to any provisions of </w:t>
      </w:r>
      <w:proofErr w:type="spellStart"/>
      <w:r w:rsidRPr="004D42C1">
        <w:t>ITEPA</w:t>
      </w:r>
      <w:proofErr w:type="spellEnd"/>
      <w:r w:rsidRPr="004D42C1">
        <w:t xml:space="preserve"> or the NICs Legislation (and/or any supporting or consequential secondary legislation relating thereto)) arising out of any Assignment </w:t>
      </w:r>
      <w:r w:rsidRPr="004D42C1">
        <w:rPr>
          <w:shd w:val="clear" w:color="auto" w:fill="FFFFFF"/>
        </w:rPr>
        <w:t xml:space="preserve">or arising out of any non-compliance with, and/or as a result of any breach of, this Agreement by the Client. </w:t>
      </w:r>
      <w:bookmarkStart w:id="49" w:name="_Ref512521437"/>
    </w:p>
    <w:p w14:paraId="530861C0" w14:textId="77777777" w:rsidR="00704C12" w:rsidRPr="00CD127A" w:rsidRDefault="00704C12" w:rsidP="000C0E31">
      <w:pPr>
        <w:pStyle w:val="ListParagraph"/>
        <w:numPr>
          <w:ilvl w:val="0"/>
          <w:numId w:val="0"/>
        </w:numPr>
        <w:ind w:left="924" w:right="284" w:hanging="567"/>
        <w:jc w:val="left"/>
        <w:rPr>
          <w:sz w:val="22"/>
          <w:szCs w:val="22"/>
        </w:rPr>
      </w:pPr>
    </w:p>
    <w:p w14:paraId="039AEECD" w14:textId="627BC920" w:rsidR="00704C12" w:rsidRPr="004D42C1" w:rsidRDefault="00704C12" w:rsidP="000C0E31">
      <w:pPr>
        <w:pStyle w:val="ListParagraph"/>
        <w:numPr>
          <w:ilvl w:val="1"/>
          <w:numId w:val="18"/>
        </w:numPr>
        <w:ind w:left="924" w:right="284" w:hanging="567"/>
        <w:jc w:val="left"/>
        <w:rPr>
          <w:b/>
        </w:rPr>
      </w:pPr>
      <w:r w:rsidRPr="004D42C1">
        <w:t xml:space="preserve">The Client shall indemnify and keep indemnified the Employment Business against any Losses incurred by the Employment Business </w:t>
      </w:r>
      <w:r w:rsidR="008D526F">
        <w:t xml:space="preserve">because of </w:t>
      </w:r>
      <w:r w:rsidRPr="004D42C1">
        <w:t xml:space="preserve">any proceedings, claims or demands by a Temporary Resource or any third party arising out of any non-compliance with, and/or </w:t>
      </w:r>
      <w:r w:rsidR="009D132E">
        <w:t xml:space="preserve">due to </w:t>
      </w:r>
      <w:r w:rsidRPr="004D42C1">
        <w:t xml:space="preserve">any breach of the Data Protection Laws by the Client.  </w:t>
      </w:r>
      <w:bookmarkEnd w:id="49"/>
    </w:p>
    <w:p w14:paraId="69C7DF19" w14:textId="77777777" w:rsidR="00704C12" w:rsidRPr="00CD127A" w:rsidRDefault="00704C12" w:rsidP="000C0E31">
      <w:pPr>
        <w:pStyle w:val="ListParagraph"/>
        <w:numPr>
          <w:ilvl w:val="0"/>
          <w:numId w:val="0"/>
        </w:numPr>
        <w:ind w:left="924" w:right="284" w:hanging="567"/>
        <w:jc w:val="left"/>
        <w:rPr>
          <w:b/>
          <w:sz w:val="22"/>
          <w:szCs w:val="22"/>
        </w:rPr>
      </w:pPr>
    </w:p>
    <w:p w14:paraId="33C6BDDD" w14:textId="10EED3B3" w:rsidR="00704C12" w:rsidRPr="004D42C1" w:rsidRDefault="00704C12" w:rsidP="000C0E31">
      <w:pPr>
        <w:pStyle w:val="ListParagraph"/>
        <w:numPr>
          <w:ilvl w:val="1"/>
          <w:numId w:val="18"/>
        </w:numPr>
        <w:tabs>
          <w:tab w:val="left" w:pos="374"/>
          <w:tab w:val="left" w:pos="400"/>
        </w:tabs>
        <w:ind w:left="924" w:right="284" w:hanging="567"/>
        <w:jc w:val="left"/>
      </w:pPr>
      <w:bookmarkStart w:id="50" w:name="_Ref449366887"/>
      <w:r w:rsidRPr="004D42C1">
        <w:t xml:space="preserve">The Client shall inform the Employment Business in writing of any </w:t>
      </w:r>
      <w:proofErr w:type="spellStart"/>
      <w:r w:rsidRPr="004D42C1">
        <w:t>AWR</w:t>
      </w:r>
      <w:proofErr w:type="spellEnd"/>
      <w:r w:rsidRPr="004D42C1">
        <w:t xml:space="preserve"> Claim which comes to the notice of the Client as soon possible but no later than </w:t>
      </w:r>
      <w:r w:rsidR="00704CBE">
        <w:t>seven</w:t>
      </w:r>
      <w:r w:rsidRPr="004D42C1">
        <w:t xml:space="preserve"> calendar days from the day on which any such </w:t>
      </w:r>
      <w:proofErr w:type="spellStart"/>
      <w:r w:rsidRPr="004D42C1">
        <w:t>AWR</w:t>
      </w:r>
      <w:proofErr w:type="spellEnd"/>
      <w:r w:rsidRPr="004D42C1">
        <w:t xml:space="preserve"> Claim comes to the notice of the Client.</w:t>
      </w:r>
      <w:bookmarkEnd w:id="50"/>
    </w:p>
    <w:p w14:paraId="6A6EA3D2" w14:textId="77777777" w:rsidR="00704C12" w:rsidRPr="00CD127A" w:rsidRDefault="00704C12" w:rsidP="000C0E31">
      <w:pPr>
        <w:tabs>
          <w:tab w:val="left" w:pos="400"/>
        </w:tabs>
        <w:spacing w:after="0" w:line="240" w:lineRule="auto"/>
        <w:ind w:left="924" w:right="284" w:hanging="567"/>
        <w:rPr>
          <w:rFonts w:ascii="Lato" w:hAnsi="Lato"/>
        </w:rPr>
      </w:pPr>
    </w:p>
    <w:p w14:paraId="318F95A4" w14:textId="15294F22" w:rsidR="00704C12" w:rsidRPr="004D42C1" w:rsidRDefault="00704C12" w:rsidP="000C0E31">
      <w:pPr>
        <w:pStyle w:val="ListParagraph"/>
        <w:numPr>
          <w:ilvl w:val="1"/>
          <w:numId w:val="18"/>
        </w:numPr>
        <w:tabs>
          <w:tab w:val="left" w:pos="374"/>
          <w:tab w:val="left" w:pos="400"/>
        </w:tabs>
        <w:ind w:left="924" w:right="284" w:hanging="567"/>
        <w:jc w:val="left"/>
        <w:rPr>
          <w:b/>
        </w:rPr>
      </w:pPr>
      <w:bookmarkStart w:id="51" w:name="_Ref449366889"/>
      <w:r w:rsidRPr="004D42C1">
        <w:t xml:space="preserve">If a Temporary Resource brings, or threatens to bring, any </w:t>
      </w:r>
      <w:proofErr w:type="spellStart"/>
      <w:r w:rsidRPr="004D42C1">
        <w:t>AWR</w:t>
      </w:r>
      <w:proofErr w:type="spellEnd"/>
      <w:r w:rsidRPr="004D42C1">
        <w:t xml:space="preserve"> Claim, the Client undertakes to take such action and give such information and assistance as the Employment Business may request, and within any timeframe requested by the Employment Business and at the Client’s own cost, to avoid, dispute, resist, mitigate, compromise or defend any such </w:t>
      </w:r>
      <w:proofErr w:type="spellStart"/>
      <w:r w:rsidRPr="004D42C1">
        <w:t>AWR</w:t>
      </w:r>
      <w:proofErr w:type="spellEnd"/>
      <w:r w:rsidRPr="004D42C1">
        <w:t xml:space="preserve"> Claim and to appeal against any judgment given in respect thereof.</w:t>
      </w:r>
      <w:bookmarkEnd w:id="51"/>
      <w:r w:rsidRPr="004D42C1">
        <w:t xml:space="preserve"> </w:t>
      </w:r>
    </w:p>
    <w:p w14:paraId="76F09656" w14:textId="77777777" w:rsidR="00704C12" w:rsidRPr="00CD127A" w:rsidRDefault="00704C12" w:rsidP="000C0E31">
      <w:pPr>
        <w:pStyle w:val="Heading3"/>
        <w:numPr>
          <w:ilvl w:val="0"/>
          <w:numId w:val="18"/>
        </w:numPr>
      </w:pPr>
      <w:r w:rsidRPr="00CD127A">
        <w:t xml:space="preserve">NOTICES </w:t>
      </w:r>
    </w:p>
    <w:p w14:paraId="06C44A38" w14:textId="77777777" w:rsidR="00704C12" w:rsidRPr="00CD127A" w:rsidRDefault="00704C12" w:rsidP="000C0E31">
      <w:pPr>
        <w:spacing w:after="0" w:line="240" w:lineRule="auto"/>
        <w:ind w:right="284"/>
        <w:rPr>
          <w:rFonts w:ascii="Lato" w:hAnsi="Lato"/>
          <w:b/>
        </w:rPr>
      </w:pPr>
    </w:p>
    <w:p w14:paraId="06C2DF27" w14:textId="2ABC46F6" w:rsidR="00704C12" w:rsidRPr="00CD127A" w:rsidRDefault="00704C12" w:rsidP="000C0E31">
      <w:pPr>
        <w:pStyle w:val="BodyText"/>
        <w:rPr>
          <w:b/>
        </w:rPr>
      </w:pPr>
      <w:r w:rsidRPr="00CD127A">
        <w:t xml:space="preserve">All notices which </w:t>
      </w:r>
      <w:r w:rsidR="009D132E">
        <w:t xml:space="preserve">must </w:t>
      </w:r>
      <w:r w:rsidRPr="00CD127A">
        <w:t xml:space="preserve">be given </w:t>
      </w:r>
      <w:r w:rsidR="00F34B8F">
        <w:t>under</w:t>
      </w:r>
      <w:r w:rsidRPr="00CD127A">
        <w:t xml:space="preserve"> this Agreement shall be in writing and may be delivered personally or by first class prepaid post to the registered office of the party upon whom the notice is to be served or any other address that the party has notified the other party in writing, including by email. Any notice shall be deemed to have been served: if by hand when delivered; if by first class post 48 hours following posting; and if by email, when that email is sent. </w:t>
      </w:r>
    </w:p>
    <w:p w14:paraId="7CF77DDB" w14:textId="77777777" w:rsidR="00704C12" w:rsidRPr="00CD127A" w:rsidRDefault="00704C12" w:rsidP="000C0E31">
      <w:pPr>
        <w:pStyle w:val="Heading3"/>
        <w:numPr>
          <w:ilvl w:val="0"/>
          <w:numId w:val="18"/>
        </w:numPr>
      </w:pPr>
      <w:r w:rsidRPr="00CD127A">
        <w:t xml:space="preserve">SEVERABILITY </w:t>
      </w:r>
    </w:p>
    <w:p w14:paraId="3DA43E95" w14:textId="77777777" w:rsidR="00704C12" w:rsidRPr="00977DEF" w:rsidRDefault="00704C12" w:rsidP="000C0E31">
      <w:pPr>
        <w:spacing w:after="0" w:line="240" w:lineRule="auto"/>
        <w:ind w:left="1080"/>
      </w:pPr>
    </w:p>
    <w:p w14:paraId="19B27F26" w14:textId="244FDBCB" w:rsidR="00704C12" w:rsidRPr="004D42C1" w:rsidRDefault="00704C12" w:rsidP="000C0E31">
      <w:pPr>
        <w:pStyle w:val="BodyText"/>
        <w:rPr>
          <w:b/>
        </w:rPr>
      </w:pPr>
      <w:r w:rsidRPr="00CD127A">
        <w:t xml:space="preserve">If any of the provisions of this Agreement shall be determined by any competent authority to be unenforceable to any extent, such provision shall, to that extent, be severed from the remaining terms, which shall continue to be valid to the fullest extent permitted by applicable laws. </w:t>
      </w:r>
    </w:p>
    <w:p w14:paraId="6FC48787" w14:textId="77777777" w:rsidR="00704C12" w:rsidRPr="00CD127A" w:rsidRDefault="00704C12" w:rsidP="000C0E31">
      <w:pPr>
        <w:pStyle w:val="Heading3"/>
        <w:numPr>
          <w:ilvl w:val="0"/>
          <w:numId w:val="18"/>
        </w:numPr>
      </w:pPr>
      <w:r w:rsidRPr="00CD127A">
        <w:t xml:space="preserve">THIRD PARTY RIGHTS </w:t>
      </w:r>
    </w:p>
    <w:p w14:paraId="6190451F" w14:textId="77777777" w:rsidR="00704C12" w:rsidRPr="00CD127A" w:rsidRDefault="00704C12" w:rsidP="000C0E31">
      <w:pPr>
        <w:pStyle w:val="ListParagraph"/>
        <w:numPr>
          <w:ilvl w:val="0"/>
          <w:numId w:val="0"/>
        </w:numPr>
        <w:ind w:left="1440"/>
        <w:jc w:val="right"/>
        <w:rPr>
          <w:snapToGrid w:val="0"/>
          <w:sz w:val="22"/>
          <w:szCs w:val="22"/>
        </w:rPr>
      </w:pPr>
    </w:p>
    <w:p w14:paraId="21D902FB" w14:textId="2449AD08" w:rsidR="00704C12" w:rsidRPr="004D42C1" w:rsidRDefault="00704C12" w:rsidP="000C0E31">
      <w:pPr>
        <w:pStyle w:val="BodyText"/>
        <w:rPr>
          <w:b/>
        </w:rPr>
      </w:pPr>
      <w:r w:rsidRPr="00CD127A">
        <w:rPr>
          <w:snapToGrid w:val="0"/>
        </w:rPr>
        <w:t xml:space="preserve">None of the provisions of this Agreement is intended to be for the benefit of or enforceable by third parties and the operation of the Contracts (Rights of Third Parties) Act 1999 </w:t>
      </w:r>
      <w:r w:rsidRPr="00CD127A">
        <w:rPr>
          <w:snapToGrid w:val="0"/>
          <w:highlight w:val="lightGray"/>
        </w:rPr>
        <w:t>[</w:t>
      </w:r>
      <w:r w:rsidRPr="00CD127A">
        <w:rPr>
          <w:highlight w:val="lightGray"/>
          <w:lang w:val="en"/>
        </w:rPr>
        <w:t>Contracts (Rights of Third Parties) Act (Scotland) 2017]</w:t>
      </w:r>
      <w:r w:rsidRPr="00CD127A">
        <w:rPr>
          <w:snapToGrid w:val="0"/>
        </w:rPr>
        <w:t xml:space="preserve"> is excluded. </w:t>
      </w:r>
      <w:r w:rsidRPr="00CD127A">
        <w:rPr>
          <w:bCs/>
          <w:highlight w:val="lightGray"/>
        </w:rPr>
        <w:t>[</w:t>
      </w:r>
      <w:r w:rsidRPr="00CD127A">
        <w:rPr>
          <w:bCs/>
          <w:i/>
          <w:highlight w:val="lightGray"/>
        </w:rPr>
        <w:t xml:space="preserve">see Note </w:t>
      </w:r>
      <w:r>
        <w:rPr>
          <w:bCs/>
          <w:i/>
          <w:highlight w:val="lightGray"/>
        </w:rPr>
        <w:t>5</w:t>
      </w:r>
      <w:r w:rsidR="00D90322">
        <w:rPr>
          <w:bCs/>
          <w:i/>
          <w:highlight w:val="lightGray"/>
        </w:rPr>
        <w:t>6</w:t>
      </w:r>
      <w:r w:rsidRPr="00CD127A">
        <w:rPr>
          <w:bCs/>
          <w:highlight w:val="lightGray"/>
        </w:rPr>
        <w:t>]</w:t>
      </w:r>
    </w:p>
    <w:p w14:paraId="1D541FF1" w14:textId="77777777" w:rsidR="00704C12" w:rsidRPr="00CD127A" w:rsidRDefault="00704C12" w:rsidP="000C0E31">
      <w:pPr>
        <w:pStyle w:val="Heading3"/>
        <w:numPr>
          <w:ilvl w:val="0"/>
          <w:numId w:val="18"/>
        </w:numPr>
      </w:pPr>
      <w:r w:rsidRPr="00CD127A">
        <w:t xml:space="preserve">GOVERNING LAW AND JURISDICTION </w:t>
      </w:r>
    </w:p>
    <w:p w14:paraId="3F5A2257" w14:textId="77777777" w:rsidR="00704C12" w:rsidRPr="00CD127A" w:rsidRDefault="00704C12" w:rsidP="000C0E31">
      <w:pPr>
        <w:pStyle w:val="ListParagraph"/>
        <w:numPr>
          <w:ilvl w:val="0"/>
          <w:numId w:val="0"/>
        </w:numPr>
        <w:ind w:left="1440"/>
        <w:jc w:val="left"/>
        <w:rPr>
          <w:sz w:val="22"/>
          <w:szCs w:val="22"/>
        </w:rPr>
      </w:pPr>
    </w:p>
    <w:p w14:paraId="7FE42983" w14:textId="7902948D" w:rsidR="00704C12" w:rsidRPr="00CD127A" w:rsidRDefault="00704C12" w:rsidP="000C0E31">
      <w:pPr>
        <w:pStyle w:val="BodyText"/>
        <w:rPr>
          <w:b/>
        </w:rPr>
      </w:pPr>
      <w:r w:rsidRPr="00CD127A">
        <w:lastRenderedPageBreak/>
        <w:t xml:space="preserve">This Agreement is governed by the law of </w:t>
      </w:r>
      <w:r w:rsidRPr="00CD127A">
        <w:rPr>
          <w:highlight w:val="lightGray"/>
        </w:rPr>
        <w:t>[England &amp; Wales/Scotland/Northern Ireland]</w:t>
      </w:r>
      <w:r w:rsidRPr="00CD127A">
        <w:t xml:space="preserve"> and are subject to the exclusive jurisdiction of the Courts of </w:t>
      </w:r>
      <w:r w:rsidRPr="00CD127A">
        <w:rPr>
          <w:highlight w:val="lightGray"/>
        </w:rPr>
        <w:t>[England &amp; Wales/Scotland/Northern Ireland]</w:t>
      </w:r>
      <w:r w:rsidRPr="00CD127A">
        <w:t xml:space="preserve">. </w:t>
      </w:r>
      <w:r w:rsidRPr="00CD127A">
        <w:rPr>
          <w:highlight w:val="lightGray"/>
        </w:rPr>
        <w:t>[</w:t>
      </w:r>
      <w:r w:rsidRPr="00CD127A">
        <w:rPr>
          <w:i/>
          <w:highlight w:val="lightGray"/>
        </w:rPr>
        <w:t xml:space="preserve">see Note </w:t>
      </w:r>
      <w:r>
        <w:rPr>
          <w:i/>
          <w:highlight w:val="lightGray"/>
        </w:rPr>
        <w:t>5</w:t>
      </w:r>
      <w:r w:rsidR="00D90322">
        <w:rPr>
          <w:i/>
          <w:highlight w:val="lightGray"/>
        </w:rPr>
        <w:t>6</w:t>
      </w:r>
      <w:r w:rsidRPr="00CD127A">
        <w:rPr>
          <w:highlight w:val="lightGray"/>
        </w:rPr>
        <w:t>]</w:t>
      </w:r>
    </w:p>
    <w:p w14:paraId="49F68F95" w14:textId="77777777" w:rsidR="00704C12" w:rsidRPr="00CD127A" w:rsidRDefault="00704C12" w:rsidP="000C0E31">
      <w:pPr>
        <w:pStyle w:val="BodyText"/>
      </w:pPr>
    </w:p>
    <w:p w14:paraId="12EF15E2" w14:textId="77777777" w:rsidR="00704C12" w:rsidRPr="00CD127A" w:rsidRDefault="00704C12" w:rsidP="000C0E31">
      <w:pPr>
        <w:pStyle w:val="BodyText"/>
      </w:pPr>
    </w:p>
    <w:p w14:paraId="79272EE7" w14:textId="77777777" w:rsidR="00704C12" w:rsidRPr="00CD127A" w:rsidRDefault="00704C12" w:rsidP="000C0E31">
      <w:pPr>
        <w:pStyle w:val="BodyText"/>
      </w:pPr>
      <w:r w:rsidRPr="00CD127A">
        <w:tab/>
      </w:r>
      <w:r w:rsidRPr="00CD127A">
        <w:tab/>
      </w:r>
      <w:r w:rsidRPr="00CD127A">
        <w:tab/>
      </w:r>
      <w:r w:rsidRPr="00CD127A">
        <w:tab/>
      </w:r>
      <w:r w:rsidRPr="00CD127A">
        <w:tab/>
      </w:r>
      <w:r w:rsidRPr="00CD127A">
        <w:tab/>
      </w:r>
      <w:r w:rsidRPr="00CD127A">
        <w:tab/>
      </w:r>
    </w:p>
    <w:p w14:paraId="6F3F4FC6" w14:textId="77777777" w:rsidR="00704C12" w:rsidRPr="00CD127A" w:rsidRDefault="00704C12" w:rsidP="000C0E31">
      <w:pPr>
        <w:pStyle w:val="BodyText"/>
        <w:rPr>
          <w:b/>
          <w:i/>
        </w:rPr>
      </w:pPr>
      <w:r w:rsidRPr="00CD127A">
        <w:rPr>
          <w:b/>
          <w:i/>
        </w:rPr>
        <w:t>Signed for and on behalf of the Employment Business</w:t>
      </w:r>
    </w:p>
    <w:p w14:paraId="6AE44282" w14:textId="77777777" w:rsidR="00704C12" w:rsidRPr="00CD127A" w:rsidRDefault="00704C12" w:rsidP="000C0E31">
      <w:pPr>
        <w:pStyle w:val="BodyText"/>
      </w:pPr>
    </w:p>
    <w:p w14:paraId="51D85E80" w14:textId="77777777" w:rsidR="00704C12" w:rsidRPr="00CD127A" w:rsidRDefault="00704C12" w:rsidP="000C0E31">
      <w:pPr>
        <w:pStyle w:val="BodyText"/>
        <w:rPr>
          <w:b/>
        </w:rPr>
      </w:pPr>
    </w:p>
    <w:p w14:paraId="74AE3647" w14:textId="77777777" w:rsidR="00704C12" w:rsidRPr="00CD127A" w:rsidRDefault="00704C12" w:rsidP="000C0E31">
      <w:pPr>
        <w:pStyle w:val="BodyText"/>
      </w:pPr>
      <w:r w:rsidRPr="00CD127A">
        <w:tab/>
      </w:r>
      <w:r w:rsidRPr="00CD127A">
        <w:tab/>
      </w:r>
      <w:r w:rsidRPr="00CD127A">
        <w:tab/>
      </w:r>
      <w:r w:rsidRPr="00CD127A">
        <w:tab/>
      </w:r>
      <w:r w:rsidRPr="00CD127A">
        <w:tab/>
      </w:r>
      <w:r w:rsidRPr="00CD127A">
        <w:tab/>
      </w:r>
      <w:r w:rsidRPr="00CD127A">
        <w:tab/>
      </w:r>
    </w:p>
    <w:p w14:paraId="5A654391" w14:textId="77777777" w:rsidR="00704C12" w:rsidRPr="00CD127A" w:rsidRDefault="00704C12" w:rsidP="000C0E31">
      <w:pPr>
        <w:pStyle w:val="BodyText"/>
      </w:pPr>
      <w:r w:rsidRPr="00CD127A">
        <w:t>[print name here]</w:t>
      </w:r>
    </w:p>
    <w:p w14:paraId="79DE0297" w14:textId="77777777" w:rsidR="00704C12" w:rsidRPr="00CD127A" w:rsidRDefault="00704C12" w:rsidP="000C0E31">
      <w:pPr>
        <w:pStyle w:val="BodyText"/>
      </w:pPr>
    </w:p>
    <w:p w14:paraId="551650CB" w14:textId="77777777" w:rsidR="00704C12" w:rsidRPr="00CD127A" w:rsidRDefault="00704C12" w:rsidP="000C0E31">
      <w:pPr>
        <w:pStyle w:val="BodyText"/>
      </w:pPr>
    </w:p>
    <w:p w14:paraId="542651FD" w14:textId="77777777" w:rsidR="00704C12" w:rsidRPr="00CD127A" w:rsidRDefault="00704C12" w:rsidP="000C0E31">
      <w:pPr>
        <w:pStyle w:val="BodyText"/>
      </w:pPr>
      <w:r w:rsidRPr="00CD127A">
        <w:tab/>
      </w:r>
      <w:r w:rsidRPr="00CD127A">
        <w:tab/>
      </w:r>
      <w:r w:rsidRPr="00CD127A">
        <w:tab/>
      </w:r>
      <w:r w:rsidRPr="00CD127A">
        <w:tab/>
      </w:r>
      <w:r w:rsidRPr="00CD127A">
        <w:tab/>
      </w:r>
      <w:r w:rsidRPr="00CD127A">
        <w:tab/>
      </w:r>
      <w:r w:rsidRPr="00CD127A">
        <w:tab/>
      </w:r>
    </w:p>
    <w:p w14:paraId="5D24335F" w14:textId="77777777" w:rsidR="00704C12" w:rsidRPr="00CD127A" w:rsidRDefault="00704C12" w:rsidP="000C0E31">
      <w:pPr>
        <w:pStyle w:val="BodyText"/>
      </w:pPr>
      <w:r w:rsidRPr="00CD127A">
        <w:rPr>
          <w:b/>
          <w:i/>
        </w:rPr>
        <w:t>Signed for and on behalf of the Client</w:t>
      </w:r>
    </w:p>
    <w:p w14:paraId="50D3A2E5" w14:textId="77777777" w:rsidR="00704C12" w:rsidRPr="00CD127A" w:rsidRDefault="00704C12" w:rsidP="00DB129D">
      <w:pPr>
        <w:pStyle w:val="BodyText"/>
      </w:pPr>
    </w:p>
    <w:p w14:paraId="621D0DCC" w14:textId="77777777" w:rsidR="00704C12" w:rsidRPr="00CD127A" w:rsidRDefault="00704C12" w:rsidP="00DB129D">
      <w:pPr>
        <w:pStyle w:val="BodyText"/>
        <w:rPr>
          <w:b/>
        </w:rPr>
      </w:pPr>
    </w:p>
    <w:p w14:paraId="0FA72673" w14:textId="77777777" w:rsidR="00704C12" w:rsidRPr="00CD127A" w:rsidRDefault="00704C12" w:rsidP="00DB129D">
      <w:pPr>
        <w:pStyle w:val="BodyText"/>
      </w:pPr>
      <w:r w:rsidRPr="00CD127A">
        <w:tab/>
      </w:r>
      <w:r w:rsidRPr="00CD127A">
        <w:tab/>
      </w:r>
      <w:r w:rsidRPr="00CD127A">
        <w:tab/>
      </w:r>
      <w:r w:rsidRPr="00CD127A">
        <w:tab/>
      </w:r>
      <w:r w:rsidRPr="00CD127A">
        <w:tab/>
      </w:r>
      <w:r w:rsidRPr="00CD127A">
        <w:tab/>
      </w:r>
      <w:r w:rsidRPr="00CD127A">
        <w:tab/>
      </w:r>
    </w:p>
    <w:p w14:paraId="1A7ACD5E" w14:textId="77777777" w:rsidR="00704C12" w:rsidRPr="00DB129D" w:rsidRDefault="00704C12" w:rsidP="00DB129D">
      <w:pPr>
        <w:pStyle w:val="BodyText"/>
      </w:pPr>
      <w:r w:rsidRPr="00CD127A">
        <w:t>[</w:t>
      </w:r>
      <w:r w:rsidRPr="00DB129D">
        <w:t>print name here]</w:t>
      </w:r>
    </w:p>
    <w:p w14:paraId="74253C7A" w14:textId="77777777" w:rsidR="00704C12" w:rsidRPr="00DB129D" w:rsidRDefault="00704C12" w:rsidP="00DB129D">
      <w:pPr>
        <w:pStyle w:val="BodyText"/>
        <w:rPr>
          <w:b/>
        </w:rPr>
      </w:pPr>
    </w:p>
    <w:p w14:paraId="538E1067" w14:textId="77777777" w:rsidR="00704C12" w:rsidRPr="00DB129D" w:rsidRDefault="00704C12" w:rsidP="00DB129D">
      <w:pPr>
        <w:pStyle w:val="BodyText"/>
        <w:rPr>
          <w:b/>
        </w:rPr>
      </w:pPr>
    </w:p>
    <w:p w14:paraId="0C181178" w14:textId="77777777" w:rsidR="00704C12" w:rsidRPr="00DB129D" w:rsidRDefault="00704C12" w:rsidP="00DB129D">
      <w:pPr>
        <w:pStyle w:val="BodyText"/>
        <w:rPr>
          <w:b/>
        </w:rPr>
      </w:pPr>
      <w:r w:rsidRPr="00DB129D">
        <w:rPr>
          <w:b/>
        </w:rPr>
        <w:t xml:space="preserve">I confirm I am authorised to sign this Agreement for and on behalf of the Client. </w:t>
      </w:r>
    </w:p>
    <w:p w14:paraId="1262D81A" w14:textId="77777777" w:rsidR="00704C12" w:rsidRPr="00DB129D" w:rsidRDefault="00704C12" w:rsidP="00DB129D">
      <w:pPr>
        <w:pStyle w:val="BodyText"/>
        <w:rPr>
          <w:b/>
        </w:rPr>
      </w:pPr>
    </w:p>
    <w:p w14:paraId="75091710" w14:textId="77777777" w:rsidR="00704C12" w:rsidRPr="00DB129D" w:rsidRDefault="00704C12" w:rsidP="00DB129D">
      <w:pPr>
        <w:pStyle w:val="BodyText"/>
      </w:pPr>
    </w:p>
    <w:p w14:paraId="78C6B4CC" w14:textId="77777777" w:rsidR="00704C12" w:rsidRPr="00DB129D" w:rsidRDefault="00704C12" w:rsidP="00DB129D">
      <w:pPr>
        <w:pStyle w:val="BodyText"/>
      </w:pPr>
    </w:p>
    <w:p w14:paraId="7A12FD34" w14:textId="77777777" w:rsidR="00704C12" w:rsidRPr="00DB129D" w:rsidRDefault="00704C12" w:rsidP="00DB129D">
      <w:pPr>
        <w:pStyle w:val="BodyText"/>
      </w:pPr>
      <w:r w:rsidRPr="00DB129D">
        <w:rPr>
          <w:u w:val="single"/>
        </w:rPr>
        <w:tab/>
      </w:r>
      <w:r w:rsidRPr="00DB129D">
        <w:rPr>
          <w:u w:val="single"/>
        </w:rPr>
        <w:tab/>
      </w:r>
      <w:r w:rsidRPr="00DB129D">
        <w:rPr>
          <w:u w:val="single"/>
        </w:rPr>
        <w:tab/>
      </w:r>
      <w:r w:rsidRPr="00DB129D">
        <w:rPr>
          <w:u w:val="single"/>
        </w:rPr>
        <w:tab/>
      </w:r>
      <w:r w:rsidRPr="00DB129D">
        <w:rPr>
          <w:u w:val="single"/>
        </w:rPr>
        <w:tab/>
      </w:r>
      <w:r w:rsidRPr="00DB129D">
        <w:rPr>
          <w:u w:val="single"/>
        </w:rPr>
        <w:tab/>
      </w:r>
      <w:r w:rsidRPr="00DB129D">
        <w:rPr>
          <w:u w:val="single"/>
        </w:rPr>
        <w:tab/>
      </w:r>
    </w:p>
    <w:p w14:paraId="4588A0E9" w14:textId="77777777" w:rsidR="00704C12" w:rsidRPr="00DB129D" w:rsidRDefault="00704C12" w:rsidP="00DB129D">
      <w:pPr>
        <w:pStyle w:val="BodyText"/>
      </w:pPr>
      <w:r w:rsidRPr="00DB129D">
        <w:t>Date</w:t>
      </w:r>
      <w:r w:rsidRPr="00DB129D">
        <w:tab/>
      </w:r>
    </w:p>
    <w:p w14:paraId="2591EF93" w14:textId="77777777" w:rsidR="00704C12" w:rsidRPr="00DB129D" w:rsidRDefault="00704C12" w:rsidP="00DB129D">
      <w:pPr>
        <w:pStyle w:val="BodyText"/>
        <w:rPr>
          <w:highlight w:val="lightGray"/>
          <w:u w:val="single"/>
        </w:rPr>
      </w:pPr>
    </w:p>
    <w:p w14:paraId="6AA0A794" w14:textId="59F6237C" w:rsidR="00704C12" w:rsidRPr="00DB129D" w:rsidRDefault="00704C12" w:rsidP="00DB129D">
      <w:pPr>
        <w:pStyle w:val="BodyText"/>
      </w:pPr>
      <w:r w:rsidRPr="00DB129D">
        <w:rPr>
          <w:highlight w:val="lightGray"/>
        </w:rPr>
        <w:t>[</w:t>
      </w:r>
      <w:r w:rsidRPr="00DB129D">
        <w:rPr>
          <w:i/>
          <w:highlight w:val="lightGray"/>
        </w:rPr>
        <w:t xml:space="preserve">see Note </w:t>
      </w:r>
      <w:r w:rsidR="00FC36BF">
        <w:rPr>
          <w:i/>
          <w:highlight w:val="lightGray"/>
        </w:rPr>
        <w:t>5</w:t>
      </w:r>
      <w:r w:rsidR="00D90322">
        <w:rPr>
          <w:i/>
          <w:highlight w:val="lightGray"/>
        </w:rPr>
        <w:t>7</w:t>
      </w:r>
      <w:r w:rsidRPr="00DB129D">
        <w:rPr>
          <w:highlight w:val="lightGray"/>
        </w:rPr>
        <w:t>]</w:t>
      </w:r>
    </w:p>
    <w:p w14:paraId="0417A670" w14:textId="77777777" w:rsidR="001126DA" w:rsidRDefault="001126DA" w:rsidP="00AB280A">
      <w:pPr>
        <w:pStyle w:val="Heading1"/>
        <w:numPr>
          <w:ilvl w:val="0"/>
          <w:numId w:val="0"/>
        </w:numPr>
        <w:ind w:left="432" w:hanging="432"/>
      </w:pPr>
    </w:p>
    <w:p w14:paraId="5B89FC57" w14:textId="77777777" w:rsidR="001126DA" w:rsidRDefault="001126DA" w:rsidP="00AB280A">
      <w:pPr>
        <w:pStyle w:val="Heading1"/>
        <w:numPr>
          <w:ilvl w:val="0"/>
          <w:numId w:val="0"/>
        </w:numPr>
        <w:ind w:left="432" w:hanging="432"/>
      </w:pPr>
    </w:p>
    <w:p w14:paraId="7E1FE4B2" w14:textId="77777777" w:rsidR="000C0E31" w:rsidRDefault="000C0E31">
      <w:pPr>
        <w:rPr>
          <w:rFonts w:ascii="Lato" w:hAnsi="Lato"/>
          <w:color w:val="0D133D"/>
          <w:sz w:val="32"/>
          <w:szCs w:val="32"/>
          <w14:ligatures w14:val="standard"/>
        </w:rPr>
      </w:pPr>
      <w:r>
        <w:br w:type="page"/>
      </w:r>
    </w:p>
    <w:p w14:paraId="16D9F009" w14:textId="17BE3EDD" w:rsidR="00704C12" w:rsidRPr="00CD127A" w:rsidRDefault="00704C12" w:rsidP="00AB280A">
      <w:pPr>
        <w:pStyle w:val="Heading1"/>
        <w:numPr>
          <w:ilvl w:val="0"/>
          <w:numId w:val="0"/>
        </w:numPr>
        <w:ind w:left="432" w:hanging="432"/>
      </w:pPr>
      <w:r w:rsidRPr="00CD127A">
        <w:lastRenderedPageBreak/>
        <w:t>SCHEDULE 1: Charges</w:t>
      </w:r>
      <w:r>
        <w:t xml:space="preserve"> </w:t>
      </w:r>
      <w:r w:rsidRPr="00B03DF8">
        <w:rPr>
          <w:highlight w:val="lightGray"/>
        </w:rPr>
        <w:t>[</w:t>
      </w:r>
      <w:r w:rsidRPr="00B03DF8">
        <w:rPr>
          <w:i/>
          <w:highlight w:val="lightGray"/>
        </w:rPr>
        <w:t xml:space="preserve">see Note </w:t>
      </w:r>
      <w:r w:rsidR="00605733">
        <w:rPr>
          <w:i/>
          <w:highlight w:val="lightGray"/>
        </w:rPr>
        <w:t>5</w:t>
      </w:r>
      <w:r w:rsidR="00D90322">
        <w:rPr>
          <w:i/>
          <w:highlight w:val="lightGray"/>
        </w:rPr>
        <w:t>8</w:t>
      </w:r>
      <w:r w:rsidRPr="00B03DF8">
        <w:rPr>
          <w:highlight w:val="lightGray"/>
        </w:rPr>
        <w:t>]</w:t>
      </w:r>
    </w:p>
    <w:p w14:paraId="41DA3E8B" w14:textId="77777777" w:rsidR="00704C12" w:rsidRPr="00CD127A" w:rsidRDefault="00704C12" w:rsidP="00FE1620">
      <w:pPr>
        <w:spacing w:after="0" w:line="240" w:lineRule="auto"/>
        <w:ind w:left="360" w:right="284" w:hanging="3"/>
        <w:rPr>
          <w:rFonts w:ascii="Lato" w:hAnsi="Lato"/>
          <w:b/>
        </w:rPr>
      </w:pPr>
    </w:p>
    <w:p w14:paraId="6C9E39F4" w14:textId="1AC815A2" w:rsidR="00704C12" w:rsidRPr="00CD127A" w:rsidRDefault="00704C12" w:rsidP="001126DA">
      <w:pPr>
        <w:pStyle w:val="BodyText"/>
      </w:pPr>
      <w:r w:rsidRPr="00CD127A">
        <w:t xml:space="preserve">The Employment Business calculates the Charges as shown in the table below.  The actual charge for the supply of a Temporary </w:t>
      </w:r>
      <w:r w:rsidR="00977DEF">
        <w:t>Resource</w:t>
      </w:r>
      <w:r w:rsidR="00977DEF" w:rsidRPr="00CD127A">
        <w:t xml:space="preserve"> </w:t>
      </w:r>
      <w:r w:rsidRPr="00CD127A">
        <w:t xml:space="preserve">is set out in </w:t>
      </w:r>
      <w:r w:rsidR="00977DEF">
        <w:t xml:space="preserve">relevant </w:t>
      </w:r>
      <w:r w:rsidRPr="00CD127A">
        <w:t xml:space="preserve">the Assignment Details Form: </w:t>
      </w:r>
    </w:p>
    <w:p w14:paraId="0D222F38" w14:textId="77777777" w:rsidR="00704C12" w:rsidRPr="00CD127A" w:rsidRDefault="00704C12" w:rsidP="00FE1620">
      <w:pPr>
        <w:spacing w:after="0" w:line="240" w:lineRule="auto"/>
        <w:rPr>
          <w:rFonts w:ascii="Lato" w:hAnsi="Lato"/>
        </w:rPr>
      </w:pPr>
    </w:p>
    <w:tbl>
      <w:tblPr>
        <w:tblStyle w:val="RECtable1"/>
        <w:tblW w:w="0" w:type="auto"/>
        <w:tblLook w:val="00C0" w:firstRow="0" w:lastRow="1" w:firstColumn="1" w:lastColumn="0" w:noHBand="0" w:noVBand="0"/>
      </w:tblPr>
      <w:tblGrid>
        <w:gridCol w:w="3471"/>
        <w:gridCol w:w="5124"/>
      </w:tblGrid>
      <w:tr w:rsidR="00704C12" w:rsidRPr="00CD127A" w14:paraId="2B4A7B0B" w14:textId="77777777" w:rsidTr="009A47A4">
        <w:tc>
          <w:tcPr>
            <w:tcW w:w="3471" w:type="dxa"/>
          </w:tcPr>
          <w:p w14:paraId="3A3B5592" w14:textId="77777777" w:rsidR="0086739E" w:rsidRDefault="00704C12" w:rsidP="00FE1620">
            <w:pPr>
              <w:rPr>
                <w:rFonts w:ascii="Lato" w:hAnsi="Lato"/>
                <w:color w:val="auto"/>
              </w:rPr>
            </w:pPr>
            <w:r w:rsidRPr="000C0E31">
              <w:rPr>
                <w:rFonts w:ascii="Lato" w:hAnsi="Lato"/>
                <w:color w:val="auto"/>
              </w:rPr>
              <w:t>For Temporary Resources engaged</w:t>
            </w:r>
            <w:r w:rsidR="0086739E">
              <w:rPr>
                <w:rFonts w:ascii="Lato" w:hAnsi="Lato"/>
                <w:color w:val="auto"/>
              </w:rPr>
              <w:t>:</w:t>
            </w:r>
          </w:p>
          <w:p w14:paraId="3978DDDC" w14:textId="4008E51B" w:rsidR="0086739E" w:rsidRDefault="0086739E" w:rsidP="00FE1620">
            <w:pPr>
              <w:rPr>
                <w:rFonts w:ascii="Lato" w:hAnsi="Lato"/>
                <w:color w:val="auto"/>
              </w:rPr>
            </w:pPr>
            <w:r>
              <w:rPr>
                <w:rFonts w:ascii="Lato" w:hAnsi="Lato"/>
                <w:color w:val="auto"/>
              </w:rPr>
              <w:t xml:space="preserve">(a) </w:t>
            </w:r>
            <w:r w:rsidR="00704C12" w:rsidRPr="000C0E31">
              <w:rPr>
                <w:rFonts w:ascii="Lato" w:hAnsi="Lato"/>
                <w:color w:val="auto"/>
              </w:rPr>
              <w:t xml:space="preserve">directly by the Employment Business or </w:t>
            </w:r>
          </w:p>
          <w:p w14:paraId="737A2845" w14:textId="24201DD1" w:rsidR="00704C12" w:rsidRPr="000C0E31" w:rsidRDefault="0086739E" w:rsidP="00FE1620">
            <w:pPr>
              <w:rPr>
                <w:rFonts w:ascii="Lato" w:hAnsi="Lato"/>
                <w:color w:val="auto"/>
              </w:rPr>
            </w:pPr>
            <w:r>
              <w:rPr>
                <w:rFonts w:ascii="Lato" w:hAnsi="Lato"/>
                <w:color w:val="auto"/>
              </w:rPr>
              <w:t xml:space="preserve">(b) </w:t>
            </w:r>
            <w:r w:rsidR="00704C12" w:rsidRPr="000C0E31">
              <w:rPr>
                <w:rFonts w:ascii="Lato" w:hAnsi="Lato"/>
                <w:color w:val="auto"/>
              </w:rPr>
              <w:t xml:space="preserve">through an umbrella company </w:t>
            </w:r>
          </w:p>
          <w:p w14:paraId="3067D05C" w14:textId="77777777" w:rsidR="00704C12" w:rsidRPr="000C0E31" w:rsidRDefault="00704C12" w:rsidP="00FE1620">
            <w:pPr>
              <w:rPr>
                <w:rFonts w:ascii="Lato" w:hAnsi="Lato"/>
                <w:color w:val="auto"/>
              </w:rPr>
            </w:pPr>
          </w:p>
          <w:p w14:paraId="19B1257A" w14:textId="77777777" w:rsidR="00704C12" w:rsidRPr="000C0E31" w:rsidRDefault="00704C12" w:rsidP="00FE1620">
            <w:pPr>
              <w:rPr>
                <w:rFonts w:ascii="Lato" w:hAnsi="Lato"/>
                <w:color w:val="auto"/>
              </w:rPr>
            </w:pPr>
          </w:p>
        </w:tc>
        <w:tc>
          <w:tcPr>
            <w:tcW w:w="5124" w:type="dxa"/>
          </w:tcPr>
          <w:p w14:paraId="3BF77ACF" w14:textId="2061DB56" w:rsidR="00704C12" w:rsidRPr="00B96D36" w:rsidRDefault="00704C12" w:rsidP="00FE28C9">
            <w:pPr>
              <w:pStyle w:val="ListParagraph"/>
              <w:numPr>
                <w:ilvl w:val="0"/>
                <w:numId w:val="7"/>
              </w:numPr>
              <w:ind w:left="360"/>
              <w:contextualSpacing w:val="0"/>
              <w:jc w:val="left"/>
              <w:rPr>
                <w:color w:val="auto"/>
              </w:rPr>
            </w:pPr>
            <w:r w:rsidRPr="00B96D36">
              <w:rPr>
                <w:color w:val="auto"/>
              </w:rPr>
              <w:t>the Temporary Resource’s hourly rate of pay</w:t>
            </w:r>
          </w:p>
          <w:p w14:paraId="202F2799" w14:textId="77777777" w:rsidR="00704C12" w:rsidRPr="00B96D36" w:rsidRDefault="00704C12" w:rsidP="00FE1620">
            <w:pPr>
              <w:rPr>
                <w:rFonts w:ascii="Lato" w:hAnsi="Lato"/>
                <w:color w:val="auto"/>
                <w:szCs w:val="20"/>
              </w:rPr>
            </w:pPr>
          </w:p>
          <w:p w14:paraId="4C0EEE99" w14:textId="0A35AD9D"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an amount equal to any paid holiday leave to which the Temporary Worker is entitled in connection with the </w:t>
            </w:r>
            <w:proofErr w:type="spellStart"/>
            <w:r w:rsidRPr="00B96D36">
              <w:rPr>
                <w:color w:val="auto"/>
              </w:rPr>
              <w:t>WTR</w:t>
            </w:r>
            <w:proofErr w:type="spellEnd"/>
            <w:r w:rsidRPr="00B96D36">
              <w:rPr>
                <w:color w:val="auto"/>
              </w:rPr>
              <w:t xml:space="preserve"> and, where applicable, the </w:t>
            </w:r>
            <w:proofErr w:type="spellStart"/>
            <w:r w:rsidRPr="00B96D36">
              <w:rPr>
                <w:color w:val="auto"/>
              </w:rPr>
              <w:t>AWR</w:t>
            </w:r>
            <w:proofErr w:type="spellEnd"/>
            <w:r w:rsidRPr="00B96D36">
              <w:rPr>
                <w:color w:val="auto"/>
              </w:rPr>
              <w:t xml:space="preserve"> and which is accrued </w:t>
            </w:r>
            <w:r w:rsidR="008E7E2C" w:rsidRPr="00B96D36">
              <w:rPr>
                <w:color w:val="auto"/>
              </w:rPr>
              <w:t>during</w:t>
            </w:r>
            <w:r w:rsidRPr="00B96D36">
              <w:rPr>
                <w:color w:val="auto"/>
              </w:rPr>
              <w:t xml:space="preserve"> an Assignmen</w:t>
            </w:r>
            <w:r w:rsidR="009A47A4" w:rsidRPr="00B96D36">
              <w:rPr>
                <w:color w:val="auto"/>
              </w:rPr>
              <w:t>t</w:t>
            </w:r>
          </w:p>
          <w:p w14:paraId="73E45180" w14:textId="77777777" w:rsidR="00704C12" w:rsidRPr="00B96D36" w:rsidRDefault="00704C12" w:rsidP="00FE1620">
            <w:pPr>
              <w:rPr>
                <w:rFonts w:ascii="Lato" w:hAnsi="Lato"/>
                <w:color w:val="auto"/>
                <w:szCs w:val="20"/>
              </w:rPr>
            </w:pPr>
          </w:p>
          <w:p w14:paraId="19178740" w14:textId="54944377"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any other amounts to which the Temporary Resource is entitled under the </w:t>
            </w:r>
            <w:proofErr w:type="spellStart"/>
            <w:r w:rsidRPr="00B96D36">
              <w:rPr>
                <w:color w:val="auto"/>
              </w:rPr>
              <w:t>AWR</w:t>
            </w:r>
            <w:proofErr w:type="spellEnd"/>
            <w:r w:rsidRPr="00B96D36">
              <w:rPr>
                <w:color w:val="auto"/>
              </w:rPr>
              <w:t>, where applicable</w:t>
            </w:r>
          </w:p>
          <w:p w14:paraId="36AC5D85" w14:textId="77777777" w:rsidR="00704C12" w:rsidRPr="00B96D36" w:rsidRDefault="00704C12" w:rsidP="00FE1620">
            <w:pPr>
              <w:rPr>
                <w:rFonts w:ascii="Lato" w:hAnsi="Lato"/>
                <w:color w:val="auto"/>
                <w:szCs w:val="20"/>
              </w:rPr>
            </w:pPr>
          </w:p>
          <w:p w14:paraId="0D8C84CC" w14:textId="17F7FFF1" w:rsidR="00704C12"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employer’s </w:t>
            </w:r>
            <w:r w:rsidR="009A47A4" w:rsidRPr="00B96D36">
              <w:rPr>
                <w:color w:val="auto"/>
              </w:rPr>
              <w:t>N</w:t>
            </w:r>
            <w:r w:rsidRPr="00B96D36">
              <w:rPr>
                <w:color w:val="auto"/>
              </w:rPr>
              <w:t xml:space="preserve">ational </w:t>
            </w:r>
            <w:r w:rsidR="009A47A4" w:rsidRPr="00B96D36">
              <w:rPr>
                <w:color w:val="auto"/>
              </w:rPr>
              <w:t>I</w:t>
            </w:r>
            <w:r w:rsidRPr="00B96D36">
              <w:rPr>
                <w:color w:val="auto"/>
              </w:rPr>
              <w:t xml:space="preserve">nsurance contributions  </w:t>
            </w:r>
          </w:p>
          <w:p w14:paraId="677063B1" w14:textId="77777777" w:rsidR="0086739E" w:rsidRDefault="0086739E" w:rsidP="00B96D36">
            <w:pPr>
              <w:pStyle w:val="ListParagraph"/>
              <w:numPr>
                <w:ilvl w:val="0"/>
                <w:numId w:val="0"/>
              </w:numPr>
              <w:ind w:left="1440"/>
            </w:pPr>
          </w:p>
          <w:p w14:paraId="202285B6" w14:textId="44F6BA0A" w:rsidR="0086739E" w:rsidRPr="00B96D36" w:rsidRDefault="0086739E" w:rsidP="00FE28C9">
            <w:pPr>
              <w:pStyle w:val="ListParagraph"/>
              <w:numPr>
                <w:ilvl w:val="0"/>
                <w:numId w:val="7"/>
              </w:numPr>
              <w:tabs>
                <w:tab w:val="left" w:pos="374"/>
              </w:tabs>
              <w:ind w:left="360" w:right="284"/>
              <w:contextualSpacing w:val="0"/>
              <w:jc w:val="left"/>
              <w:rPr>
                <w:color w:val="auto"/>
              </w:rPr>
            </w:pPr>
            <w:r>
              <w:rPr>
                <w:color w:val="auto"/>
              </w:rPr>
              <w:t xml:space="preserve">employers' auto-enrolment pension contributions </w:t>
            </w:r>
          </w:p>
          <w:p w14:paraId="62CF328A" w14:textId="77777777" w:rsidR="00704C12" w:rsidRPr="00B96D36" w:rsidRDefault="00704C12" w:rsidP="00FE1620">
            <w:pPr>
              <w:tabs>
                <w:tab w:val="left" w:pos="374"/>
              </w:tabs>
              <w:ind w:right="284"/>
              <w:rPr>
                <w:rFonts w:ascii="Lato" w:hAnsi="Lato"/>
                <w:color w:val="auto"/>
                <w:szCs w:val="20"/>
              </w:rPr>
            </w:pPr>
          </w:p>
          <w:p w14:paraId="41D2CD52" w14:textId="4BD9EA96"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any travel, hotel or other expenses as may have been agreed with the </w:t>
            </w:r>
            <w:r w:rsidR="00986248">
              <w:rPr>
                <w:color w:val="auto"/>
              </w:rPr>
              <w:t>Client</w:t>
            </w:r>
            <w:r w:rsidRPr="00B96D36">
              <w:rPr>
                <w:color w:val="auto"/>
              </w:rPr>
              <w:t xml:space="preserve"> or, if there is no such agreement, such expenses as are reasonable</w:t>
            </w:r>
          </w:p>
          <w:p w14:paraId="4F1B9FED" w14:textId="77777777" w:rsidR="00704C12" w:rsidRPr="00B96D36" w:rsidRDefault="00704C12" w:rsidP="00FE1620">
            <w:pPr>
              <w:tabs>
                <w:tab w:val="left" w:pos="374"/>
              </w:tabs>
              <w:ind w:left="-360" w:right="284"/>
              <w:rPr>
                <w:rFonts w:ascii="Lato" w:hAnsi="Lato"/>
                <w:color w:val="auto"/>
                <w:szCs w:val="20"/>
              </w:rPr>
            </w:pPr>
          </w:p>
          <w:p w14:paraId="71D31878" w14:textId="07D3A1F0"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the Employment Business’s commission, which is calculated </w:t>
            </w:r>
            <w:r w:rsidR="00F34B8F" w:rsidRPr="00EE13F9">
              <w:rPr>
                <w:color w:val="auto"/>
                <w:highlight w:val="lightGray"/>
              </w:rPr>
              <w:t>[</w:t>
            </w:r>
            <w:r w:rsidRPr="00EE13F9">
              <w:rPr>
                <w:color w:val="auto"/>
                <w:highlight w:val="lightGray"/>
              </w:rPr>
              <w:t xml:space="preserve">as a percentage of the Temporary </w:t>
            </w:r>
            <w:r w:rsidR="009A47A4" w:rsidRPr="00EE13F9">
              <w:rPr>
                <w:color w:val="auto"/>
                <w:highlight w:val="lightGray"/>
              </w:rPr>
              <w:t>Resources’</w:t>
            </w:r>
            <w:r w:rsidRPr="00EE13F9">
              <w:rPr>
                <w:color w:val="auto"/>
                <w:highlight w:val="lightGray"/>
              </w:rPr>
              <w:t xml:space="preserve"> hourly rate</w:t>
            </w:r>
            <w:r w:rsidR="00F34B8F" w:rsidRPr="00EE13F9">
              <w:rPr>
                <w:color w:val="auto"/>
                <w:highlight w:val="lightGray"/>
              </w:rPr>
              <w:t>]</w:t>
            </w:r>
          </w:p>
          <w:p w14:paraId="4A5E9779" w14:textId="77777777" w:rsidR="00704C12" w:rsidRPr="00B96D36" w:rsidRDefault="00704C12" w:rsidP="00FE1620">
            <w:pPr>
              <w:ind w:left="1080"/>
              <w:rPr>
                <w:color w:val="auto"/>
                <w:szCs w:val="20"/>
              </w:rPr>
            </w:pPr>
          </w:p>
          <w:p w14:paraId="173A1BD5" w14:textId="7F24A0E8" w:rsidR="00704C12" w:rsidRPr="00B96D36" w:rsidRDefault="00704C12" w:rsidP="00FE28C9">
            <w:pPr>
              <w:pStyle w:val="ListParagraph"/>
              <w:numPr>
                <w:ilvl w:val="0"/>
                <w:numId w:val="7"/>
              </w:numPr>
              <w:tabs>
                <w:tab w:val="left" w:pos="374"/>
              </w:tabs>
              <w:ind w:left="360" w:right="284"/>
              <w:contextualSpacing w:val="0"/>
              <w:jc w:val="left"/>
              <w:rPr>
                <w:color w:val="auto"/>
              </w:rPr>
            </w:pPr>
            <w:r w:rsidRPr="00B96D36">
              <w:rPr>
                <w:color w:val="auto"/>
              </w:rPr>
              <w:t xml:space="preserve">the </w:t>
            </w:r>
            <w:r w:rsidR="00977DEF" w:rsidRPr="00B96D36">
              <w:rPr>
                <w:color w:val="auto"/>
              </w:rPr>
              <w:t>A</w:t>
            </w:r>
            <w:r w:rsidRPr="00B96D36">
              <w:rPr>
                <w:color w:val="auto"/>
              </w:rPr>
              <w:t xml:space="preserve">pprenticeship </w:t>
            </w:r>
            <w:r w:rsidR="00977DEF" w:rsidRPr="00B96D36">
              <w:rPr>
                <w:color w:val="auto"/>
              </w:rPr>
              <w:t>L</w:t>
            </w:r>
            <w:r w:rsidRPr="00B96D36">
              <w:rPr>
                <w:color w:val="auto"/>
              </w:rPr>
              <w:t xml:space="preserve">evy </w:t>
            </w:r>
          </w:p>
        </w:tc>
      </w:tr>
      <w:tr w:rsidR="00854829" w:rsidRPr="00CD127A" w14:paraId="2B89865D" w14:textId="77777777" w:rsidTr="009A47A4">
        <w:tc>
          <w:tcPr>
            <w:tcW w:w="3471" w:type="dxa"/>
          </w:tcPr>
          <w:p w14:paraId="583BE7B1" w14:textId="2103103F" w:rsidR="00854829" w:rsidRPr="000C0E31" w:rsidRDefault="00854829" w:rsidP="00854829">
            <w:pPr>
              <w:rPr>
                <w:rFonts w:ascii="Lato" w:hAnsi="Lato"/>
              </w:rPr>
            </w:pPr>
            <w:r w:rsidRPr="000C0E31">
              <w:rPr>
                <w:rFonts w:ascii="Lato" w:hAnsi="Lato"/>
                <w:color w:val="auto"/>
              </w:rPr>
              <w:t>For Temporary Resources providing their services through a</w:t>
            </w:r>
            <w:r>
              <w:rPr>
                <w:rFonts w:ascii="Lato" w:hAnsi="Lato"/>
                <w:color w:val="auto"/>
              </w:rPr>
              <w:t xml:space="preserve"> PSC </w:t>
            </w:r>
          </w:p>
        </w:tc>
        <w:tc>
          <w:tcPr>
            <w:tcW w:w="5124" w:type="dxa"/>
          </w:tcPr>
          <w:p w14:paraId="14DD65C8" w14:textId="77777777" w:rsidR="00854829" w:rsidRPr="008A744E" w:rsidRDefault="00854829" w:rsidP="00854829">
            <w:pPr>
              <w:rPr>
                <w:rFonts w:ascii="Lato" w:hAnsi="Lato"/>
                <w:color w:val="auto"/>
                <w:szCs w:val="20"/>
              </w:rPr>
            </w:pPr>
            <w:r w:rsidRPr="008A744E">
              <w:rPr>
                <w:rFonts w:ascii="Lato" w:hAnsi="Lato"/>
                <w:color w:val="auto"/>
                <w:szCs w:val="20"/>
                <w:highlight w:val="yellow"/>
              </w:rPr>
              <w:t>£</w:t>
            </w:r>
            <w:r w:rsidRPr="008A744E">
              <w:rPr>
                <w:rFonts w:ascii="Lato" w:hAnsi="Lato"/>
                <w:color w:val="auto"/>
                <w:szCs w:val="20"/>
                <w:highlight w:val="yellow"/>
              </w:rPr>
              <w:tab/>
              <w:t>Staged payments/on completion</w:t>
            </w:r>
          </w:p>
          <w:p w14:paraId="0C9663E1" w14:textId="77777777" w:rsidR="00854829" w:rsidRPr="008A744E" w:rsidRDefault="00854829" w:rsidP="00854829">
            <w:pPr>
              <w:rPr>
                <w:rFonts w:ascii="Lato" w:hAnsi="Lato"/>
                <w:color w:val="auto"/>
                <w:szCs w:val="20"/>
              </w:rPr>
            </w:pPr>
            <w:r w:rsidRPr="008A744E">
              <w:rPr>
                <w:rFonts w:ascii="Lato" w:hAnsi="Lato"/>
                <w:color w:val="auto"/>
                <w:szCs w:val="20"/>
              </w:rPr>
              <w:t>OR</w:t>
            </w:r>
          </w:p>
          <w:p w14:paraId="0D34540F" w14:textId="4CB98799" w:rsidR="00854829" w:rsidRPr="00B96D36" w:rsidRDefault="00854829" w:rsidP="00854829">
            <w:pPr>
              <w:rPr>
                <w:rFonts w:ascii="Lato" w:hAnsi="Lato"/>
                <w:szCs w:val="20"/>
                <w:highlight w:val="yellow"/>
              </w:rPr>
            </w:pPr>
            <w:r w:rsidRPr="008A744E">
              <w:rPr>
                <w:rFonts w:ascii="Lato" w:hAnsi="Lato"/>
                <w:color w:val="auto"/>
                <w:szCs w:val="20"/>
                <w:highlight w:val="green"/>
              </w:rPr>
              <w:t>£</w:t>
            </w:r>
            <w:r w:rsidRPr="008A744E">
              <w:rPr>
                <w:rFonts w:ascii="Lato" w:hAnsi="Lato"/>
                <w:color w:val="auto"/>
                <w:szCs w:val="20"/>
                <w:highlight w:val="green"/>
              </w:rPr>
              <w:tab/>
              <w:t>Per month/week/day/hour</w:t>
            </w:r>
            <w:r w:rsidRPr="008A744E">
              <w:rPr>
                <w:rFonts w:ascii="Lato" w:hAnsi="Lato"/>
                <w:color w:val="auto"/>
                <w:szCs w:val="20"/>
              </w:rPr>
              <w:t xml:space="preserve"> </w:t>
            </w:r>
          </w:p>
        </w:tc>
      </w:tr>
      <w:tr w:rsidR="00854829" w:rsidRPr="00CD127A" w14:paraId="0975945C" w14:textId="77777777" w:rsidTr="009A47A4">
        <w:tc>
          <w:tcPr>
            <w:tcW w:w="3471" w:type="dxa"/>
          </w:tcPr>
          <w:p w14:paraId="7A38A7D5" w14:textId="77777777" w:rsidR="00854829" w:rsidRPr="000C0E31" w:rsidRDefault="00854829" w:rsidP="00854829">
            <w:pPr>
              <w:rPr>
                <w:rFonts w:ascii="Lato" w:hAnsi="Lato"/>
                <w:color w:val="auto"/>
              </w:rPr>
            </w:pPr>
            <w:r w:rsidRPr="000C0E31">
              <w:rPr>
                <w:rFonts w:ascii="Lato" w:hAnsi="Lato"/>
                <w:color w:val="auto"/>
              </w:rPr>
              <w:t>Notional amount to add to remuneration for the purposes of calculating the Transfer Fee (if the Client offers a company car to the individual)</w:t>
            </w:r>
          </w:p>
        </w:tc>
        <w:tc>
          <w:tcPr>
            <w:tcW w:w="5124" w:type="dxa"/>
          </w:tcPr>
          <w:p w14:paraId="6A8B9F92" w14:textId="77777777" w:rsidR="00854829" w:rsidRPr="00B96D36" w:rsidRDefault="00854829" w:rsidP="00854829">
            <w:pPr>
              <w:rPr>
                <w:rFonts w:ascii="Lato" w:hAnsi="Lato"/>
                <w:color w:val="auto"/>
                <w:szCs w:val="20"/>
                <w:highlight w:val="cyan"/>
              </w:rPr>
            </w:pPr>
          </w:p>
        </w:tc>
      </w:tr>
      <w:tr w:rsidR="00854829" w:rsidRPr="00CD127A" w14:paraId="79B175E5" w14:textId="77777777" w:rsidTr="009A47A4">
        <w:tc>
          <w:tcPr>
            <w:tcW w:w="3471" w:type="dxa"/>
          </w:tcPr>
          <w:p w14:paraId="7EC94B9C" w14:textId="77777777" w:rsidR="00854829" w:rsidRPr="000C0E31" w:rsidRDefault="00854829" w:rsidP="00854829">
            <w:pPr>
              <w:rPr>
                <w:rFonts w:ascii="Lato" w:hAnsi="Lato"/>
                <w:color w:val="auto"/>
              </w:rPr>
            </w:pPr>
          </w:p>
        </w:tc>
        <w:tc>
          <w:tcPr>
            <w:tcW w:w="5124" w:type="dxa"/>
          </w:tcPr>
          <w:p w14:paraId="0B6696BD" w14:textId="3F791256" w:rsidR="00854829" w:rsidRPr="000C0E31" w:rsidRDefault="00854829" w:rsidP="00854829">
            <w:pPr>
              <w:rPr>
                <w:rFonts w:ascii="Lato" w:hAnsi="Lato"/>
                <w:color w:val="auto"/>
                <w:highlight w:val="green"/>
              </w:rPr>
            </w:pPr>
            <w:r w:rsidRPr="000C0E31">
              <w:rPr>
                <w:rFonts w:ascii="Lato" w:hAnsi="Lato"/>
                <w:color w:val="auto"/>
                <w:highlight w:val="green"/>
              </w:rPr>
              <w:t>[Any other</w:t>
            </w:r>
            <w:r w:rsidR="009674FE">
              <w:rPr>
                <w:rFonts w:ascii="Lato" w:hAnsi="Lato"/>
                <w:color w:val="auto"/>
                <w:highlight w:val="green"/>
              </w:rPr>
              <w:t xml:space="preserve"> charges</w:t>
            </w:r>
            <w:r w:rsidRPr="000C0E31">
              <w:rPr>
                <w:rFonts w:ascii="Lato" w:hAnsi="Lato"/>
                <w:color w:val="auto"/>
                <w:highlight w:val="green"/>
              </w:rPr>
              <w:t>?]</w:t>
            </w:r>
          </w:p>
        </w:tc>
      </w:tr>
    </w:tbl>
    <w:p w14:paraId="2804DCF6" w14:textId="77777777" w:rsidR="00704C12" w:rsidRPr="00CD127A" w:rsidRDefault="00704C12" w:rsidP="00FE1620">
      <w:pPr>
        <w:rPr>
          <w:rFonts w:ascii="Lato" w:hAnsi="Lato"/>
          <w:b/>
        </w:rPr>
      </w:pPr>
    </w:p>
    <w:p w14:paraId="673CB89C" w14:textId="77777777" w:rsidR="000C0E31" w:rsidRDefault="000C0E31">
      <w:pPr>
        <w:rPr>
          <w:rFonts w:ascii="Lato" w:hAnsi="Lato"/>
          <w:color w:val="0D133D"/>
          <w:sz w:val="32"/>
          <w:szCs w:val="32"/>
          <w14:ligatures w14:val="standard"/>
        </w:rPr>
      </w:pPr>
      <w:r>
        <w:br w:type="page"/>
      </w:r>
    </w:p>
    <w:p w14:paraId="289F0192" w14:textId="5102ED7F" w:rsidR="004656D4" w:rsidRPr="00CD127A" w:rsidRDefault="00704C12" w:rsidP="00C204A1">
      <w:pPr>
        <w:pStyle w:val="Heading1"/>
        <w:numPr>
          <w:ilvl w:val="0"/>
          <w:numId w:val="0"/>
        </w:numPr>
        <w:ind w:left="432" w:hanging="432"/>
      </w:pPr>
      <w:r w:rsidRPr="00CD127A">
        <w:lastRenderedPageBreak/>
        <w:t>SCHEDULE 2: Transfer Fees</w:t>
      </w:r>
      <w:r w:rsidR="00977DEF">
        <w:t xml:space="preserve"> </w:t>
      </w:r>
      <w:r w:rsidR="004656D4" w:rsidRPr="00CD127A">
        <w:rPr>
          <w:highlight w:val="lightGray"/>
        </w:rPr>
        <w:t>[</w:t>
      </w:r>
      <w:r w:rsidR="004656D4" w:rsidRPr="00CD127A">
        <w:rPr>
          <w:i/>
          <w:highlight w:val="lightGray"/>
        </w:rPr>
        <w:t xml:space="preserve">see Notes </w:t>
      </w:r>
      <w:r w:rsidR="00605733">
        <w:rPr>
          <w:i/>
          <w:highlight w:val="lightGray"/>
        </w:rPr>
        <w:t>5</w:t>
      </w:r>
      <w:r w:rsidR="00D90322">
        <w:rPr>
          <w:i/>
          <w:highlight w:val="lightGray"/>
        </w:rPr>
        <w:t>9</w:t>
      </w:r>
      <w:r w:rsidR="004656D4" w:rsidRPr="00CD127A">
        <w:rPr>
          <w:i/>
          <w:highlight w:val="lightGray"/>
        </w:rPr>
        <w:t xml:space="preserve"> and </w:t>
      </w:r>
      <w:r w:rsidR="00D90322">
        <w:rPr>
          <w:i/>
          <w:highlight w:val="lightGray"/>
        </w:rPr>
        <w:t>60</w:t>
      </w:r>
      <w:r w:rsidR="004656D4" w:rsidRPr="00CD127A">
        <w:rPr>
          <w:highlight w:val="lightGray"/>
        </w:rPr>
        <w:t>]</w:t>
      </w:r>
    </w:p>
    <w:p w14:paraId="38152495" w14:textId="77777777" w:rsidR="000C0E31" w:rsidRPr="000C0E31" w:rsidRDefault="000C0E31" w:rsidP="00EA748E">
      <w:pPr>
        <w:pStyle w:val="Heading2"/>
        <w:numPr>
          <w:ilvl w:val="0"/>
          <w:numId w:val="0"/>
        </w:numPr>
        <w:ind w:left="576" w:hanging="576"/>
        <w:rPr>
          <w:b/>
          <w:color w:val="auto"/>
        </w:rPr>
      </w:pPr>
      <w:r w:rsidRPr="000C0E31">
        <w:rPr>
          <w:b/>
          <w:color w:val="auto"/>
        </w:rPr>
        <w:t xml:space="preserve">Where the Conduct Regulations apply: </w:t>
      </w:r>
    </w:p>
    <w:p w14:paraId="20E0FF41" w14:textId="4BB9F5BD" w:rsidR="004656D4" w:rsidRDefault="004656D4" w:rsidP="00EA748E">
      <w:pPr>
        <w:pStyle w:val="Heading2"/>
        <w:numPr>
          <w:ilvl w:val="0"/>
          <w:numId w:val="0"/>
        </w:numPr>
        <w:ind w:left="576" w:hanging="576"/>
      </w:pPr>
      <w:r w:rsidRPr="00CD127A">
        <w:rPr>
          <w:highlight w:val="lightGray"/>
        </w:rPr>
        <w:t xml:space="preserve">Choose either Option </w:t>
      </w:r>
      <w:r w:rsidRPr="0082505D">
        <w:rPr>
          <w:highlight w:val="yellow"/>
        </w:rPr>
        <w:t>A</w:t>
      </w:r>
      <w:r w:rsidRPr="00CD127A">
        <w:rPr>
          <w:highlight w:val="lightGray"/>
        </w:rPr>
        <w:t xml:space="preserve">, </w:t>
      </w:r>
      <w:r w:rsidRPr="0082505D">
        <w:rPr>
          <w:highlight w:val="green"/>
        </w:rPr>
        <w:t>B</w:t>
      </w:r>
      <w:r w:rsidRPr="00CD127A">
        <w:rPr>
          <w:highlight w:val="lightGray"/>
        </w:rPr>
        <w:t xml:space="preserve"> or </w:t>
      </w:r>
      <w:r w:rsidRPr="00CD127A">
        <w:rPr>
          <w:highlight w:val="magenta"/>
        </w:rPr>
        <w:t>C</w:t>
      </w:r>
      <w:r w:rsidRPr="00CD127A">
        <w:rPr>
          <w:highlight w:val="lightGray"/>
        </w:rPr>
        <w:t xml:space="preserve"> and delete the options not used</w:t>
      </w:r>
    </w:p>
    <w:p w14:paraId="4C4B0ADB" w14:textId="77777777" w:rsidR="00EA748E" w:rsidRPr="00EA748E" w:rsidRDefault="00EA748E" w:rsidP="00EA748E">
      <w:pPr>
        <w:pStyle w:val="BodyText"/>
      </w:pPr>
    </w:p>
    <w:p w14:paraId="79E4CE9A" w14:textId="50063908" w:rsidR="004656D4" w:rsidRPr="0082505D" w:rsidRDefault="004656D4" w:rsidP="000C0E31">
      <w:pPr>
        <w:pStyle w:val="Heading3"/>
        <w:numPr>
          <w:ilvl w:val="0"/>
          <w:numId w:val="0"/>
        </w:numPr>
        <w:spacing w:before="0"/>
        <w:rPr>
          <w:highlight w:val="yellow"/>
        </w:rPr>
      </w:pPr>
      <w:r w:rsidRPr="0082505D">
        <w:rPr>
          <w:highlight w:val="yellow"/>
        </w:rPr>
        <w:t>Option A</w:t>
      </w:r>
      <w:r w:rsidR="00EA748E" w:rsidRPr="0082505D">
        <w:rPr>
          <w:highlight w:val="yellow"/>
        </w:rPr>
        <w:t>:</w:t>
      </w:r>
    </w:p>
    <w:p w14:paraId="19C6CC76" w14:textId="77777777" w:rsidR="00EA748E" w:rsidRPr="0082505D" w:rsidRDefault="00EA748E" w:rsidP="009C0F86">
      <w:pPr>
        <w:pStyle w:val="BodyText"/>
        <w:rPr>
          <w:highlight w:val="yellow"/>
        </w:rPr>
      </w:pPr>
    </w:p>
    <w:p w14:paraId="59D6F589" w14:textId="4977AEB9" w:rsidR="004656D4" w:rsidRPr="0082505D" w:rsidRDefault="004656D4" w:rsidP="00FE28C9">
      <w:pPr>
        <w:pStyle w:val="BodyText"/>
        <w:numPr>
          <w:ilvl w:val="0"/>
          <w:numId w:val="19"/>
        </w:numPr>
        <w:rPr>
          <w:highlight w:val="yellow"/>
        </w:rPr>
      </w:pPr>
      <w:r w:rsidRPr="0082505D">
        <w:rPr>
          <w:highlight w:val="yellow"/>
        </w:rPr>
        <w:t xml:space="preserve">The Transfer Fee referred to in clause 8 shall be calculated as follows: [….]% of the Remuneration payable to the Temporary Resource during the first 12 months of the Engagement or, if the actual amount of the Remuneration is not known, the Charges multiplied by </w:t>
      </w:r>
      <w:r w:rsidRPr="0082505D">
        <w:rPr>
          <w:highlight w:val="lightGray"/>
        </w:rPr>
        <w:t>[….]</w:t>
      </w:r>
      <w:r w:rsidRPr="0082505D">
        <w:rPr>
          <w:highlight w:val="yellow"/>
        </w:rPr>
        <w:t xml:space="preserve">. </w:t>
      </w:r>
      <w:r w:rsidRPr="0082505D">
        <w:rPr>
          <w:highlight w:val="lightGray"/>
        </w:rPr>
        <w:t>[</w:t>
      </w:r>
      <w:r w:rsidRPr="0082505D">
        <w:rPr>
          <w:i/>
          <w:highlight w:val="lightGray"/>
        </w:rPr>
        <w:t xml:space="preserve">see Note </w:t>
      </w:r>
      <w:r w:rsidR="00605733" w:rsidRPr="0082505D">
        <w:rPr>
          <w:i/>
          <w:highlight w:val="lightGray"/>
        </w:rPr>
        <w:t>5</w:t>
      </w:r>
      <w:r w:rsidR="00D90322" w:rsidRPr="0082505D">
        <w:rPr>
          <w:i/>
          <w:highlight w:val="lightGray"/>
        </w:rPr>
        <w:t>9</w:t>
      </w:r>
      <w:r w:rsidRPr="0082505D">
        <w:rPr>
          <w:highlight w:val="lightGray"/>
        </w:rPr>
        <w:t>]</w:t>
      </w:r>
    </w:p>
    <w:p w14:paraId="269671E5" w14:textId="77777777" w:rsidR="004656D4" w:rsidRPr="0082505D" w:rsidRDefault="004656D4" w:rsidP="009C0F86">
      <w:pPr>
        <w:pStyle w:val="BodyText"/>
        <w:rPr>
          <w:highlight w:val="yellow"/>
        </w:rPr>
      </w:pPr>
    </w:p>
    <w:p w14:paraId="749C31F5" w14:textId="203EFF24" w:rsidR="004656D4" w:rsidRPr="0082505D" w:rsidRDefault="004656D4" w:rsidP="00FE28C9">
      <w:pPr>
        <w:pStyle w:val="BodyText"/>
        <w:numPr>
          <w:ilvl w:val="0"/>
          <w:numId w:val="19"/>
        </w:numPr>
        <w:rPr>
          <w:highlight w:val="yellow"/>
        </w:rPr>
      </w:pPr>
      <w:r w:rsidRPr="0082505D">
        <w:rPr>
          <w:highlight w:val="yellow"/>
        </w:rPr>
        <w:t xml:space="preserve">The Period of Extended Hire, referred to in clause 8, before the Client Engages a Temporary Resource shall be: [….] weeks. </w:t>
      </w:r>
      <w:r w:rsidRPr="009674FE">
        <w:rPr>
          <w:highlight w:val="lightGray"/>
        </w:rPr>
        <w:t>[</w:t>
      </w:r>
      <w:r w:rsidRPr="009674FE">
        <w:rPr>
          <w:i/>
          <w:highlight w:val="lightGray"/>
        </w:rPr>
        <w:t xml:space="preserve">see Note </w:t>
      </w:r>
      <w:r w:rsidR="00D90322" w:rsidRPr="009674FE">
        <w:rPr>
          <w:i/>
          <w:highlight w:val="lightGray"/>
        </w:rPr>
        <w:t>60</w:t>
      </w:r>
      <w:r w:rsidRPr="009674FE">
        <w:rPr>
          <w:highlight w:val="lightGray"/>
        </w:rPr>
        <w:t>]</w:t>
      </w:r>
    </w:p>
    <w:p w14:paraId="4B8AF216" w14:textId="77777777" w:rsidR="004656D4" w:rsidRPr="00CD127A" w:rsidRDefault="004656D4" w:rsidP="009C0F86">
      <w:pPr>
        <w:rPr>
          <w:rFonts w:ascii="Lato" w:hAnsi="Lato"/>
        </w:rPr>
      </w:pPr>
    </w:p>
    <w:p w14:paraId="2C761334" w14:textId="3B029FC1" w:rsidR="004656D4" w:rsidRPr="0082505D" w:rsidRDefault="004656D4" w:rsidP="009C0F86">
      <w:pPr>
        <w:pStyle w:val="Heading3"/>
        <w:numPr>
          <w:ilvl w:val="0"/>
          <w:numId w:val="0"/>
        </w:numPr>
        <w:ind w:left="720" w:hanging="720"/>
        <w:rPr>
          <w:highlight w:val="green"/>
        </w:rPr>
      </w:pPr>
      <w:r w:rsidRPr="0082505D">
        <w:rPr>
          <w:highlight w:val="green"/>
        </w:rPr>
        <w:t>Option B:</w:t>
      </w:r>
    </w:p>
    <w:p w14:paraId="6EB78594" w14:textId="77777777" w:rsidR="00380D5A" w:rsidRPr="0082505D" w:rsidRDefault="00380D5A" w:rsidP="009C0F86">
      <w:pPr>
        <w:pStyle w:val="BodyText"/>
        <w:rPr>
          <w:highlight w:val="green"/>
        </w:rPr>
      </w:pPr>
    </w:p>
    <w:p w14:paraId="48CB8A3B" w14:textId="71D6DB34" w:rsidR="004656D4" w:rsidRPr="0082505D" w:rsidRDefault="004656D4" w:rsidP="00FE28C9">
      <w:pPr>
        <w:pStyle w:val="BodyText"/>
        <w:numPr>
          <w:ilvl w:val="0"/>
          <w:numId w:val="20"/>
        </w:numPr>
        <w:rPr>
          <w:highlight w:val="green"/>
        </w:rPr>
      </w:pPr>
      <w:r w:rsidRPr="0082505D">
        <w:rPr>
          <w:highlight w:val="green"/>
        </w:rPr>
        <w:t xml:space="preserve">The Transfer Fee referred to in clause 8 shall be agreed in writing between the Employment Business and the Client. </w:t>
      </w:r>
      <w:r w:rsidR="008E7E2C" w:rsidRPr="0082505D">
        <w:rPr>
          <w:highlight w:val="green"/>
        </w:rPr>
        <w:t>If</w:t>
      </w:r>
      <w:r w:rsidRPr="0082505D">
        <w:rPr>
          <w:highlight w:val="green"/>
        </w:rPr>
        <w:t xml:space="preserve"> the parties do not agree the amount of the Transfer Fee then the Employment Business </w:t>
      </w:r>
      <w:r w:rsidR="00C90E1F" w:rsidRPr="0082505D">
        <w:rPr>
          <w:highlight w:val="green"/>
        </w:rPr>
        <w:t xml:space="preserve">can </w:t>
      </w:r>
      <w:r w:rsidRPr="0082505D">
        <w:rPr>
          <w:highlight w:val="green"/>
        </w:rPr>
        <w:t xml:space="preserve"> charge a fee calculated as follows: </w:t>
      </w:r>
      <w:r w:rsidRPr="0082505D">
        <w:rPr>
          <w:highlight w:val="lightGray"/>
        </w:rPr>
        <w:t>[….]</w:t>
      </w:r>
      <w:r w:rsidRPr="0082505D">
        <w:rPr>
          <w:highlight w:val="green"/>
        </w:rPr>
        <w:t xml:space="preserve"> % of the Remuneration payable to the Temporary Resource during the first 12 months of the Engagement or that would be payable if the Engagement were to last 12 months, or if the actual amount of the Remuneration is not known, the Charges multiplied by </w:t>
      </w:r>
      <w:r w:rsidRPr="0082505D">
        <w:rPr>
          <w:highlight w:val="lightGray"/>
        </w:rPr>
        <w:t>[….]</w:t>
      </w:r>
      <w:r w:rsidRPr="0082505D">
        <w:rPr>
          <w:highlight w:val="green"/>
        </w:rPr>
        <w:t xml:space="preserve">. </w:t>
      </w:r>
      <w:r w:rsidRPr="0082505D">
        <w:rPr>
          <w:highlight w:val="lightGray"/>
        </w:rPr>
        <w:t>[</w:t>
      </w:r>
      <w:r w:rsidRPr="0082505D">
        <w:rPr>
          <w:i/>
          <w:highlight w:val="lightGray"/>
        </w:rPr>
        <w:t xml:space="preserve">see Note </w:t>
      </w:r>
      <w:r w:rsidR="00605733" w:rsidRPr="0082505D">
        <w:rPr>
          <w:i/>
          <w:highlight w:val="lightGray"/>
        </w:rPr>
        <w:t>5</w:t>
      </w:r>
      <w:r w:rsidR="00D90322" w:rsidRPr="0082505D">
        <w:rPr>
          <w:i/>
          <w:highlight w:val="lightGray"/>
        </w:rPr>
        <w:t>9</w:t>
      </w:r>
      <w:r w:rsidRPr="0082505D">
        <w:rPr>
          <w:highlight w:val="lightGray"/>
        </w:rPr>
        <w:t>]</w:t>
      </w:r>
    </w:p>
    <w:p w14:paraId="4382D931" w14:textId="77777777" w:rsidR="004656D4" w:rsidRPr="0082505D" w:rsidRDefault="004656D4" w:rsidP="009C0F86">
      <w:pPr>
        <w:pStyle w:val="BodyText"/>
        <w:rPr>
          <w:highlight w:val="green"/>
        </w:rPr>
      </w:pPr>
    </w:p>
    <w:p w14:paraId="0DD30BE3" w14:textId="673D9676" w:rsidR="004656D4" w:rsidRPr="0082505D" w:rsidRDefault="004656D4" w:rsidP="00FE28C9">
      <w:pPr>
        <w:pStyle w:val="BodyText"/>
        <w:numPr>
          <w:ilvl w:val="0"/>
          <w:numId w:val="20"/>
        </w:numPr>
        <w:rPr>
          <w:highlight w:val="green"/>
        </w:rPr>
      </w:pPr>
      <w:r w:rsidRPr="0082505D">
        <w:rPr>
          <w:highlight w:val="green"/>
        </w:rPr>
        <w:t xml:space="preserve">The Period of Extended Hire, referred to in clause 8 before the Client Engages a Temporary Resource shall be agreed in writing between the Employment Business and the Client. </w:t>
      </w:r>
      <w:r w:rsidR="00C90E1F" w:rsidRPr="0082505D">
        <w:rPr>
          <w:highlight w:val="green"/>
        </w:rPr>
        <w:t>If</w:t>
      </w:r>
      <w:r w:rsidRPr="0082505D">
        <w:rPr>
          <w:highlight w:val="green"/>
        </w:rPr>
        <w:t xml:space="preserve"> the parties do not agree the length of the Period of Extended Hire then the period shall be </w:t>
      </w:r>
      <w:r w:rsidRPr="0082505D">
        <w:rPr>
          <w:highlight w:val="lightGray"/>
        </w:rPr>
        <w:t>[….]</w:t>
      </w:r>
      <w:r w:rsidRPr="0082505D">
        <w:rPr>
          <w:highlight w:val="green"/>
        </w:rPr>
        <w:t xml:space="preserve"> weeks. </w:t>
      </w:r>
      <w:r w:rsidRPr="0082505D">
        <w:rPr>
          <w:highlight w:val="lightGray"/>
        </w:rPr>
        <w:t>[</w:t>
      </w:r>
      <w:r w:rsidRPr="0082505D">
        <w:rPr>
          <w:i/>
          <w:highlight w:val="lightGray"/>
        </w:rPr>
        <w:t xml:space="preserve">see Note </w:t>
      </w:r>
      <w:r w:rsidR="00D90322" w:rsidRPr="0082505D">
        <w:rPr>
          <w:i/>
          <w:highlight w:val="lightGray"/>
        </w:rPr>
        <w:t>60</w:t>
      </w:r>
      <w:r w:rsidRPr="0082505D">
        <w:rPr>
          <w:highlight w:val="lightGray"/>
        </w:rPr>
        <w:t>]</w:t>
      </w:r>
    </w:p>
    <w:p w14:paraId="4C08CBFC" w14:textId="52FF456D" w:rsidR="004656D4" w:rsidRPr="00CD127A" w:rsidRDefault="004656D4" w:rsidP="009C0F86">
      <w:pPr>
        <w:rPr>
          <w:rFonts w:ascii="Lato" w:hAnsi="Lato"/>
        </w:rPr>
      </w:pPr>
    </w:p>
    <w:p w14:paraId="08866B13" w14:textId="3D45179A" w:rsidR="004656D4" w:rsidRDefault="004656D4" w:rsidP="009C0F86">
      <w:pPr>
        <w:pStyle w:val="Heading3"/>
        <w:numPr>
          <w:ilvl w:val="0"/>
          <w:numId w:val="0"/>
        </w:numPr>
        <w:ind w:left="720" w:hanging="720"/>
        <w:rPr>
          <w:highlight w:val="magenta"/>
        </w:rPr>
      </w:pPr>
      <w:r w:rsidRPr="00CD127A">
        <w:rPr>
          <w:highlight w:val="magenta"/>
        </w:rPr>
        <w:t>Option C:</w:t>
      </w:r>
    </w:p>
    <w:p w14:paraId="1EA75599" w14:textId="77777777" w:rsidR="00380D5A" w:rsidRPr="00380D5A" w:rsidRDefault="00380D5A" w:rsidP="009C0F86">
      <w:pPr>
        <w:pStyle w:val="BodyText"/>
        <w:rPr>
          <w:highlight w:val="magenta"/>
        </w:rPr>
      </w:pPr>
    </w:p>
    <w:p w14:paraId="27C67A4A" w14:textId="1D84E1F6" w:rsidR="004656D4" w:rsidRPr="00CD127A" w:rsidRDefault="004656D4" w:rsidP="00FE28C9">
      <w:pPr>
        <w:pStyle w:val="BodyText"/>
        <w:numPr>
          <w:ilvl w:val="0"/>
          <w:numId w:val="21"/>
        </w:numPr>
        <w:rPr>
          <w:highlight w:val="magenta"/>
        </w:rPr>
      </w:pPr>
      <w:r w:rsidRPr="00CD127A">
        <w:rPr>
          <w:highlight w:val="magenta"/>
        </w:rPr>
        <w:t xml:space="preserve">The Transfer Fee referred to in clause 8 shall be calculated as follows: </w:t>
      </w:r>
      <w:r w:rsidRPr="00CD127A">
        <w:rPr>
          <w:highlight w:val="lightGray"/>
        </w:rPr>
        <w:t>[….]</w:t>
      </w:r>
      <w:r w:rsidRPr="00CD127A">
        <w:rPr>
          <w:highlight w:val="magenta"/>
        </w:rPr>
        <w:t xml:space="preserve">% of the Remuneration payable to the </w:t>
      </w:r>
      <w:r>
        <w:rPr>
          <w:highlight w:val="magenta"/>
        </w:rPr>
        <w:t>Temporary Resource</w:t>
      </w:r>
      <w:r w:rsidRPr="00CD127A">
        <w:rPr>
          <w:highlight w:val="magenta"/>
        </w:rPr>
        <w:t xml:space="preserve"> during the first 12 months of the Engagement or, that would be payable if the Engagement were to last 12 months, or if the actual amount of the Remuneration is not known, the Charges multiplied by </w:t>
      </w:r>
      <w:r w:rsidRPr="00CD127A">
        <w:rPr>
          <w:highlight w:val="lightGray"/>
        </w:rPr>
        <w:t>[….]</w:t>
      </w:r>
      <w:r w:rsidRPr="00CD127A">
        <w:rPr>
          <w:highlight w:val="magenta"/>
        </w:rPr>
        <w:t xml:space="preserve"> </w:t>
      </w:r>
      <w:r w:rsidRPr="00CD127A">
        <w:rPr>
          <w:highlight w:val="lightGray"/>
        </w:rPr>
        <w:t>[</w:t>
      </w:r>
      <w:r w:rsidRPr="00CD127A">
        <w:rPr>
          <w:i/>
          <w:highlight w:val="lightGray"/>
        </w:rPr>
        <w:t xml:space="preserve">see Note </w:t>
      </w:r>
      <w:r w:rsidR="00605733">
        <w:rPr>
          <w:i/>
          <w:highlight w:val="lightGray"/>
        </w:rPr>
        <w:t>5</w:t>
      </w:r>
      <w:r w:rsidR="00D90322">
        <w:rPr>
          <w:i/>
          <w:highlight w:val="lightGray"/>
        </w:rPr>
        <w:t>9</w:t>
      </w:r>
      <w:r w:rsidRPr="00CD127A">
        <w:rPr>
          <w:i/>
          <w:highlight w:val="lightGray"/>
        </w:rPr>
        <w:t xml:space="preserve"> and </w:t>
      </w:r>
      <w:r w:rsidR="00D90322">
        <w:rPr>
          <w:i/>
          <w:highlight w:val="lightGray"/>
        </w:rPr>
        <w:t>60</w:t>
      </w:r>
      <w:r w:rsidRPr="00CD127A">
        <w:rPr>
          <w:highlight w:val="lightGray"/>
        </w:rPr>
        <w:t>]</w:t>
      </w:r>
      <w:r w:rsidRPr="00CD127A">
        <w:rPr>
          <w:highlight w:val="magenta"/>
        </w:rPr>
        <w:t xml:space="preserve">; less any rebate applicable calculated according to the Scale of Rebate to the Transfer Fee shown below. </w:t>
      </w:r>
    </w:p>
    <w:p w14:paraId="044E402E" w14:textId="77777777" w:rsidR="004656D4" w:rsidRPr="00CD127A" w:rsidRDefault="004656D4" w:rsidP="009C0F86">
      <w:pPr>
        <w:tabs>
          <w:tab w:val="left" w:pos="1123"/>
        </w:tabs>
        <w:ind w:left="363"/>
        <w:rPr>
          <w:rFonts w:ascii="Lato" w:hAnsi="Lato"/>
          <w:highlight w:val="magenta"/>
        </w:rPr>
      </w:pPr>
    </w:p>
    <w:p w14:paraId="4900C947" w14:textId="77777777" w:rsidR="004656D4" w:rsidRPr="00380D5A" w:rsidRDefault="004656D4" w:rsidP="00FE28C9">
      <w:pPr>
        <w:pStyle w:val="ListParagraph"/>
        <w:numPr>
          <w:ilvl w:val="0"/>
          <w:numId w:val="21"/>
        </w:numPr>
        <w:jc w:val="left"/>
        <w:rPr>
          <w:highlight w:val="magenta"/>
        </w:rPr>
      </w:pPr>
      <w:r w:rsidRPr="00380D5A">
        <w:rPr>
          <w:highlight w:val="magenta"/>
        </w:rPr>
        <w:t>The Period of Extended Hire, referred to in clause 8, before the Client Engages a Temporary Resource shall be calculated in proportion to the number of weeks the PSC has been supplied to the Client prior to the start of the Period of Extended Hire as set out in the table shown below.</w:t>
      </w:r>
    </w:p>
    <w:p w14:paraId="3E3674D8" w14:textId="77777777" w:rsidR="004656D4" w:rsidRPr="00CD127A" w:rsidRDefault="004656D4" w:rsidP="00FE1620">
      <w:pPr>
        <w:pStyle w:val="ListParagraph"/>
        <w:numPr>
          <w:ilvl w:val="0"/>
          <w:numId w:val="0"/>
        </w:numPr>
        <w:ind w:left="1440"/>
        <w:jc w:val="left"/>
        <w:rPr>
          <w:b/>
          <w:bCs/>
          <w:sz w:val="22"/>
          <w:szCs w:val="22"/>
        </w:rPr>
      </w:pPr>
    </w:p>
    <w:tbl>
      <w:tblPr>
        <w:tblStyle w:val="RECtable1"/>
        <w:tblW w:w="9209" w:type="dxa"/>
        <w:tblLayout w:type="fixed"/>
        <w:tblLook w:val="00A0" w:firstRow="1" w:lastRow="0" w:firstColumn="1" w:lastColumn="0" w:noHBand="0" w:noVBand="0"/>
      </w:tblPr>
      <w:tblGrid>
        <w:gridCol w:w="2830"/>
        <w:gridCol w:w="489"/>
        <w:gridCol w:w="490"/>
        <w:gridCol w:w="489"/>
        <w:gridCol w:w="490"/>
        <w:gridCol w:w="489"/>
        <w:gridCol w:w="490"/>
        <w:gridCol w:w="489"/>
        <w:gridCol w:w="490"/>
        <w:gridCol w:w="489"/>
        <w:gridCol w:w="490"/>
        <w:gridCol w:w="489"/>
        <w:gridCol w:w="490"/>
        <w:gridCol w:w="505"/>
      </w:tblGrid>
      <w:tr w:rsidR="004656D4" w:rsidRPr="00CD127A" w14:paraId="6B09570F" w14:textId="77777777" w:rsidTr="00EC5A23">
        <w:trPr>
          <w:cnfStyle w:val="100000000000" w:firstRow="1" w:lastRow="0" w:firstColumn="0" w:lastColumn="0" w:oddVBand="0" w:evenVBand="0" w:oddHBand="0" w:evenHBand="0" w:firstRowFirstColumn="0" w:firstRowLastColumn="0" w:lastRowFirstColumn="0" w:lastRowLastColumn="0"/>
          <w:trHeight w:val="193"/>
        </w:trPr>
        <w:tc>
          <w:tcPr>
            <w:tcW w:w="9209" w:type="dxa"/>
            <w:gridSpan w:val="14"/>
          </w:tcPr>
          <w:p w14:paraId="07F8B375" w14:textId="77777777" w:rsidR="004656D4" w:rsidRPr="002115EB" w:rsidRDefault="004656D4" w:rsidP="002115EB">
            <w:pPr>
              <w:pStyle w:val="BodyText"/>
              <w:rPr>
                <w:b w:val="0"/>
                <w:bCs/>
              </w:rPr>
            </w:pPr>
            <w:r w:rsidRPr="002115EB">
              <w:rPr>
                <w:b w:val="0"/>
                <w:bCs/>
                <w:highlight w:val="magenta"/>
              </w:rPr>
              <w:t>SCALE OF TRANSFER FEE REBATES</w:t>
            </w:r>
          </w:p>
        </w:tc>
      </w:tr>
      <w:tr w:rsidR="00102089" w:rsidRPr="00CD127A" w14:paraId="4B9B1F38" w14:textId="77777777" w:rsidTr="00EC5A23">
        <w:tc>
          <w:tcPr>
            <w:tcW w:w="2830" w:type="dxa"/>
          </w:tcPr>
          <w:p w14:paraId="605DC632" w14:textId="54FA0D8E" w:rsidR="004656D4" w:rsidRPr="002115EB" w:rsidRDefault="004656D4" w:rsidP="002115EB">
            <w:pPr>
              <w:pStyle w:val="BodyText"/>
              <w:rPr>
                <w:b/>
                <w:bCs/>
                <w:highlight w:val="magenta"/>
              </w:rPr>
            </w:pPr>
            <w:r w:rsidRPr="002115EB">
              <w:rPr>
                <w:b/>
                <w:bCs/>
                <w:highlight w:val="magenta"/>
              </w:rPr>
              <w:lastRenderedPageBreak/>
              <w:t>Number of complete weeks the Temporary Resource has been supplied prior to the Client serving notice under clause 8.2 above.</w:t>
            </w:r>
          </w:p>
        </w:tc>
        <w:tc>
          <w:tcPr>
            <w:tcW w:w="489" w:type="dxa"/>
            <w:vAlign w:val="center"/>
          </w:tcPr>
          <w:p w14:paraId="08894DCD" w14:textId="77777777" w:rsidR="004656D4" w:rsidRPr="00CD127A" w:rsidRDefault="004656D4" w:rsidP="002115EB">
            <w:pPr>
              <w:pStyle w:val="BodyText"/>
              <w:rPr>
                <w:highlight w:val="magenta"/>
              </w:rPr>
            </w:pPr>
            <w:r w:rsidRPr="00CD127A">
              <w:rPr>
                <w:highlight w:val="magenta"/>
              </w:rPr>
              <w:t>0</w:t>
            </w:r>
          </w:p>
        </w:tc>
        <w:tc>
          <w:tcPr>
            <w:tcW w:w="490" w:type="dxa"/>
            <w:vAlign w:val="center"/>
          </w:tcPr>
          <w:p w14:paraId="167A5897" w14:textId="77777777" w:rsidR="004656D4" w:rsidRPr="00CD127A" w:rsidRDefault="004656D4" w:rsidP="002115EB">
            <w:pPr>
              <w:pStyle w:val="BodyText"/>
              <w:rPr>
                <w:highlight w:val="magenta"/>
              </w:rPr>
            </w:pPr>
            <w:r w:rsidRPr="00CD127A">
              <w:rPr>
                <w:highlight w:val="magenta"/>
              </w:rPr>
              <w:t>1</w:t>
            </w:r>
          </w:p>
        </w:tc>
        <w:tc>
          <w:tcPr>
            <w:tcW w:w="489" w:type="dxa"/>
            <w:vAlign w:val="center"/>
          </w:tcPr>
          <w:p w14:paraId="6EA54549" w14:textId="77777777" w:rsidR="004656D4" w:rsidRPr="00CD127A" w:rsidRDefault="004656D4" w:rsidP="002115EB">
            <w:pPr>
              <w:pStyle w:val="BodyText"/>
              <w:rPr>
                <w:highlight w:val="magenta"/>
              </w:rPr>
            </w:pPr>
            <w:r w:rsidRPr="00CD127A">
              <w:rPr>
                <w:highlight w:val="magenta"/>
              </w:rPr>
              <w:t>2</w:t>
            </w:r>
          </w:p>
        </w:tc>
        <w:tc>
          <w:tcPr>
            <w:tcW w:w="490" w:type="dxa"/>
            <w:vAlign w:val="center"/>
          </w:tcPr>
          <w:p w14:paraId="555FF6B5" w14:textId="77777777" w:rsidR="004656D4" w:rsidRPr="00CD127A" w:rsidRDefault="004656D4" w:rsidP="002115EB">
            <w:pPr>
              <w:pStyle w:val="BodyText"/>
              <w:rPr>
                <w:highlight w:val="magenta"/>
              </w:rPr>
            </w:pPr>
            <w:r w:rsidRPr="00CD127A">
              <w:rPr>
                <w:highlight w:val="magenta"/>
              </w:rPr>
              <w:t>3</w:t>
            </w:r>
          </w:p>
        </w:tc>
        <w:tc>
          <w:tcPr>
            <w:tcW w:w="489" w:type="dxa"/>
            <w:vAlign w:val="center"/>
          </w:tcPr>
          <w:p w14:paraId="5D885AE3" w14:textId="77777777" w:rsidR="004656D4" w:rsidRPr="00CD127A" w:rsidRDefault="004656D4" w:rsidP="002115EB">
            <w:pPr>
              <w:pStyle w:val="BodyText"/>
              <w:rPr>
                <w:highlight w:val="magenta"/>
              </w:rPr>
            </w:pPr>
            <w:r w:rsidRPr="00CD127A">
              <w:rPr>
                <w:highlight w:val="magenta"/>
              </w:rPr>
              <w:t>4</w:t>
            </w:r>
          </w:p>
        </w:tc>
        <w:tc>
          <w:tcPr>
            <w:tcW w:w="490" w:type="dxa"/>
            <w:vAlign w:val="center"/>
          </w:tcPr>
          <w:p w14:paraId="5313AE33" w14:textId="77777777" w:rsidR="004656D4" w:rsidRPr="00CD127A" w:rsidRDefault="004656D4" w:rsidP="002115EB">
            <w:pPr>
              <w:pStyle w:val="BodyText"/>
              <w:rPr>
                <w:highlight w:val="magenta"/>
              </w:rPr>
            </w:pPr>
            <w:r w:rsidRPr="00CD127A">
              <w:rPr>
                <w:highlight w:val="magenta"/>
              </w:rPr>
              <w:t>5</w:t>
            </w:r>
          </w:p>
        </w:tc>
        <w:tc>
          <w:tcPr>
            <w:tcW w:w="489" w:type="dxa"/>
            <w:vAlign w:val="center"/>
          </w:tcPr>
          <w:p w14:paraId="350EBE68" w14:textId="77777777" w:rsidR="004656D4" w:rsidRPr="00CD127A" w:rsidRDefault="004656D4" w:rsidP="002115EB">
            <w:pPr>
              <w:pStyle w:val="BodyText"/>
              <w:rPr>
                <w:highlight w:val="magenta"/>
              </w:rPr>
            </w:pPr>
            <w:r w:rsidRPr="00CD127A">
              <w:rPr>
                <w:highlight w:val="magenta"/>
              </w:rPr>
              <w:t>6</w:t>
            </w:r>
          </w:p>
        </w:tc>
        <w:tc>
          <w:tcPr>
            <w:tcW w:w="490" w:type="dxa"/>
            <w:vAlign w:val="center"/>
          </w:tcPr>
          <w:p w14:paraId="11AB7A7E" w14:textId="77777777" w:rsidR="004656D4" w:rsidRPr="00CD127A" w:rsidRDefault="004656D4" w:rsidP="002115EB">
            <w:pPr>
              <w:pStyle w:val="BodyText"/>
              <w:rPr>
                <w:highlight w:val="magenta"/>
              </w:rPr>
            </w:pPr>
            <w:r w:rsidRPr="00CD127A">
              <w:rPr>
                <w:highlight w:val="magenta"/>
              </w:rPr>
              <w:t>7</w:t>
            </w:r>
          </w:p>
        </w:tc>
        <w:tc>
          <w:tcPr>
            <w:tcW w:w="489" w:type="dxa"/>
            <w:vAlign w:val="center"/>
          </w:tcPr>
          <w:p w14:paraId="7A86FE06" w14:textId="77777777" w:rsidR="004656D4" w:rsidRPr="00CD127A" w:rsidRDefault="004656D4" w:rsidP="002115EB">
            <w:pPr>
              <w:pStyle w:val="BodyText"/>
              <w:rPr>
                <w:highlight w:val="magenta"/>
              </w:rPr>
            </w:pPr>
            <w:r w:rsidRPr="00CD127A">
              <w:rPr>
                <w:highlight w:val="magenta"/>
              </w:rPr>
              <w:t>8</w:t>
            </w:r>
          </w:p>
        </w:tc>
        <w:tc>
          <w:tcPr>
            <w:tcW w:w="490" w:type="dxa"/>
            <w:vAlign w:val="center"/>
          </w:tcPr>
          <w:p w14:paraId="27CC2C9C" w14:textId="77777777" w:rsidR="004656D4" w:rsidRPr="00CD127A" w:rsidRDefault="004656D4" w:rsidP="002115EB">
            <w:pPr>
              <w:pStyle w:val="BodyText"/>
              <w:rPr>
                <w:highlight w:val="magenta"/>
              </w:rPr>
            </w:pPr>
            <w:r w:rsidRPr="00CD127A">
              <w:rPr>
                <w:highlight w:val="magenta"/>
              </w:rPr>
              <w:t>9</w:t>
            </w:r>
          </w:p>
        </w:tc>
        <w:tc>
          <w:tcPr>
            <w:tcW w:w="489" w:type="dxa"/>
            <w:vAlign w:val="center"/>
          </w:tcPr>
          <w:p w14:paraId="5ED81D09" w14:textId="77777777" w:rsidR="004656D4" w:rsidRPr="00CD127A" w:rsidRDefault="004656D4" w:rsidP="002115EB">
            <w:pPr>
              <w:pStyle w:val="BodyText"/>
              <w:rPr>
                <w:highlight w:val="magenta"/>
              </w:rPr>
            </w:pPr>
            <w:r w:rsidRPr="00CD127A">
              <w:rPr>
                <w:highlight w:val="magenta"/>
              </w:rPr>
              <w:t>10</w:t>
            </w:r>
          </w:p>
        </w:tc>
        <w:tc>
          <w:tcPr>
            <w:tcW w:w="490" w:type="dxa"/>
            <w:vAlign w:val="center"/>
          </w:tcPr>
          <w:p w14:paraId="23DEBD3C" w14:textId="77777777" w:rsidR="004656D4" w:rsidRPr="00CD127A" w:rsidRDefault="004656D4" w:rsidP="002115EB">
            <w:pPr>
              <w:pStyle w:val="BodyText"/>
              <w:rPr>
                <w:highlight w:val="magenta"/>
              </w:rPr>
            </w:pPr>
            <w:r w:rsidRPr="00CD127A">
              <w:rPr>
                <w:highlight w:val="magenta"/>
              </w:rPr>
              <w:t>11</w:t>
            </w:r>
          </w:p>
        </w:tc>
        <w:tc>
          <w:tcPr>
            <w:tcW w:w="505" w:type="dxa"/>
            <w:vAlign w:val="center"/>
          </w:tcPr>
          <w:p w14:paraId="330E6DE8" w14:textId="4CF458A8" w:rsidR="004656D4" w:rsidRPr="00CD127A" w:rsidRDefault="004656D4" w:rsidP="002115EB">
            <w:pPr>
              <w:pStyle w:val="BodyText"/>
              <w:rPr>
                <w:highlight w:val="magenta"/>
              </w:rPr>
            </w:pPr>
            <w:r w:rsidRPr="00CD127A">
              <w:rPr>
                <w:highlight w:val="magenta"/>
              </w:rPr>
              <w:t>12</w:t>
            </w:r>
          </w:p>
        </w:tc>
      </w:tr>
      <w:tr w:rsidR="00102089" w:rsidRPr="00CD127A" w14:paraId="7307C2AF" w14:textId="77777777" w:rsidTr="00EC5A23">
        <w:trPr>
          <w:trHeight w:val="402"/>
        </w:trPr>
        <w:tc>
          <w:tcPr>
            <w:tcW w:w="2830" w:type="dxa"/>
          </w:tcPr>
          <w:p w14:paraId="19097B31" w14:textId="77777777" w:rsidR="004656D4" w:rsidRPr="002115EB" w:rsidRDefault="004656D4" w:rsidP="002115EB">
            <w:pPr>
              <w:pStyle w:val="BodyText"/>
              <w:rPr>
                <w:b/>
                <w:bCs/>
                <w:highlight w:val="magenta"/>
              </w:rPr>
            </w:pPr>
            <w:r w:rsidRPr="002115EB">
              <w:rPr>
                <w:b/>
                <w:bCs/>
                <w:highlight w:val="magenta"/>
              </w:rPr>
              <w:t>Transfer Fee Rebate (as a % of the Fee set out in clause 8 and above)</w:t>
            </w:r>
          </w:p>
        </w:tc>
        <w:tc>
          <w:tcPr>
            <w:tcW w:w="489" w:type="dxa"/>
            <w:vAlign w:val="center"/>
          </w:tcPr>
          <w:p w14:paraId="1BC7C418" w14:textId="77777777" w:rsidR="004656D4" w:rsidRPr="00CD127A" w:rsidRDefault="004656D4" w:rsidP="002115EB">
            <w:pPr>
              <w:pStyle w:val="BodyText"/>
              <w:rPr>
                <w:highlight w:val="magenta"/>
              </w:rPr>
            </w:pPr>
            <w:r w:rsidRPr="00CD127A">
              <w:rPr>
                <w:highlight w:val="magenta"/>
              </w:rPr>
              <w:t>0</w:t>
            </w:r>
          </w:p>
        </w:tc>
        <w:tc>
          <w:tcPr>
            <w:tcW w:w="490" w:type="dxa"/>
            <w:vAlign w:val="center"/>
          </w:tcPr>
          <w:p w14:paraId="59BA9686" w14:textId="77777777" w:rsidR="004656D4" w:rsidRPr="00CD127A" w:rsidRDefault="004656D4" w:rsidP="002115EB">
            <w:pPr>
              <w:pStyle w:val="BodyText"/>
              <w:rPr>
                <w:highlight w:val="magenta"/>
              </w:rPr>
            </w:pPr>
            <w:r w:rsidRPr="00CD127A">
              <w:rPr>
                <w:highlight w:val="magenta"/>
              </w:rPr>
              <w:t>5</w:t>
            </w:r>
          </w:p>
        </w:tc>
        <w:tc>
          <w:tcPr>
            <w:tcW w:w="489" w:type="dxa"/>
            <w:vAlign w:val="center"/>
          </w:tcPr>
          <w:p w14:paraId="662D694B" w14:textId="77777777" w:rsidR="004656D4" w:rsidRPr="00CD127A" w:rsidRDefault="004656D4" w:rsidP="002115EB">
            <w:pPr>
              <w:pStyle w:val="BodyText"/>
              <w:rPr>
                <w:highlight w:val="magenta"/>
              </w:rPr>
            </w:pPr>
            <w:r w:rsidRPr="00CD127A">
              <w:rPr>
                <w:highlight w:val="magenta"/>
              </w:rPr>
              <w:t>7</w:t>
            </w:r>
          </w:p>
        </w:tc>
        <w:tc>
          <w:tcPr>
            <w:tcW w:w="490" w:type="dxa"/>
            <w:vAlign w:val="center"/>
          </w:tcPr>
          <w:p w14:paraId="772D618C" w14:textId="77777777" w:rsidR="004656D4" w:rsidRPr="00CD127A" w:rsidRDefault="004656D4" w:rsidP="002115EB">
            <w:pPr>
              <w:pStyle w:val="BodyText"/>
              <w:rPr>
                <w:highlight w:val="magenta"/>
              </w:rPr>
            </w:pPr>
            <w:r w:rsidRPr="00CD127A">
              <w:rPr>
                <w:highlight w:val="magenta"/>
              </w:rPr>
              <w:t>10</w:t>
            </w:r>
          </w:p>
        </w:tc>
        <w:tc>
          <w:tcPr>
            <w:tcW w:w="489" w:type="dxa"/>
            <w:vAlign w:val="center"/>
          </w:tcPr>
          <w:p w14:paraId="23042901" w14:textId="77777777" w:rsidR="004656D4" w:rsidRPr="00CD127A" w:rsidRDefault="004656D4" w:rsidP="002115EB">
            <w:pPr>
              <w:pStyle w:val="BodyText"/>
              <w:rPr>
                <w:highlight w:val="magenta"/>
              </w:rPr>
            </w:pPr>
            <w:r w:rsidRPr="00CD127A">
              <w:rPr>
                <w:highlight w:val="magenta"/>
              </w:rPr>
              <w:t>20</w:t>
            </w:r>
          </w:p>
        </w:tc>
        <w:tc>
          <w:tcPr>
            <w:tcW w:w="490" w:type="dxa"/>
            <w:vAlign w:val="center"/>
          </w:tcPr>
          <w:p w14:paraId="71A5C9A0" w14:textId="77777777" w:rsidR="004656D4" w:rsidRPr="00CD127A" w:rsidRDefault="004656D4" w:rsidP="002115EB">
            <w:pPr>
              <w:pStyle w:val="BodyText"/>
              <w:rPr>
                <w:highlight w:val="magenta"/>
              </w:rPr>
            </w:pPr>
            <w:r w:rsidRPr="00CD127A">
              <w:rPr>
                <w:highlight w:val="magenta"/>
              </w:rPr>
              <w:t>30</w:t>
            </w:r>
          </w:p>
        </w:tc>
        <w:tc>
          <w:tcPr>
            <w:tcW w:w="489" w:type="dxa"/>
            <w:vAlign w:val="center"/>
          </w:tcPr>
          <w:p w14:paraId="0034FD29" w14:textId="77777777" w:rsidR="004656D4" w:rsidRPr="00CD127A" w:rsidRDefault="004656D4" w:rsidP="002115EB">
            <w:pPr>
              <w:pStyle w:val="BodyText"/>
              <w:rPr>
                <w:highlight w:val="magenta"/>
              </w:rPr>
            </w:pPr>
            <w:r w:rsidRPr="00CD127A">
              <w:rPr>
                <w:highlight w:val="magenta"/>
              </w:rPr>
              <w:t>40</w:t>
            </w:r>
          </w:p>
        </w:tc>
        <w:tc>
          <w:tcPr>
            <w:tcW w:w="490" w:type="dxa"/>
            <w:vAlign w:val="center"/>
          </w:tcPr>
          <w:p w14:paraId="0BE0AF17" w14:textId="77777777" w:rsidR="004656D4" w:rsidRPr="00CD127A" w:rsidRDefault="004656D4" w:rsidP="002115EB">
            <w:pPr>
              <w:pStyle w:val="BodyText"/>
              <w:rPr>
                <w:highlight w:val="magenta"/>
              </w:rPr>
            </w:pPr>
            <w:r w:rsidRPr="00CD127A">
              <w:rPr>
                <w:highlight w:val="magenta"/>
              </w:rPr>
              <w:t>50</w:t>
            </w:r>
          </w:p>
        </w:tc>
        <w:tc>
          <w:tcPr>
            <w:tcW w:w="489" w:type="dxa"/>
            <w:vAlign w:val="center"/>
          </w:tcPr>
          <w:p w14:paraId="45A9CABE" w14:textId="77777777" w:rsidR="004656D4" w:rsidRPr="00CD127A" w:rsidRDefault="004656D4" w:rsidP="002115EB">
            <w:pPr>
              <w:pStyle w:val="BodyText"/>
              <w:rPr>
                <w:highlight w:val="magenta"/>
              </w:rPr>
            </w:pPr>
            <w:r w:rsidRPr="00CD127A">
              <w:rPr>
                <w:highlight w:val="magenta"/>
              </w:rPr>
              <w:t>60</w:t>
            </w:r>
          </w:p>
        </w:tc>
        <w:tc>
          <w:tcPr>
            <w:tcW w:w="490" w:type="dxa"/>
            <w:vAlign w:val="center"/>
          </w:tcPr>
          <w:p w14:paraId="1DD3A485" w14:textId="77777777" w:rsidR="004656D4" w:rsidRPr="00CD127A" w:rsidRDefault="004656D4" w:rsidP="002115EB">
            <w:pPr>
              <w:pStyle w:val="BodyText"/>
              <w:rPr>
                <w:highlight w:val="magenta"/>
              </w:rPr>
            </w:pPr>
            <w:r w:rsidRPr="00CD127A">
              <w:rPr>
                <w:highlight w:val="magenta"/>
              </w:rPr>
              <w:t>70</w:t>
            </w:r>
          </w:p>
        </w:tc>
        <w:tc>
          <w:tcPr>
            <w:tcW w:w="489" w:type="dxa"/>
            <w:vAlign w:val="center"/>
          </w:tcPr>
          <w:p w14:paraId="5B5B5423" w14:textId="77777777" w:rsidR="004656D4" w:rsidRPr="00CD127A" w:rsidRDefault="004656D4" w:rsidP="002115EB">
            <w:pPr>
              <w:pStyle w:val="BodyText"/>
              <w:rPr>
                <w:highlight w:val="magenta"/>
              </w:rPr>
            </w:pPr>
            <w:r w:rsidRPr="00CD127A">
              <w:rPr>
                <w:highlight w:val="magenta"/>
              </w:rPr>
              <w:t>80</w:t>
            </w:r>
          </w:p>
        </w:tc>
        <w:tc>
          <w:tcPr>
            <w:tcW w:w="490" w:type="dxa"/>
            <w:vAlign w:val="center"/>
          </w:tcPr>
          <w:p w14:paraId="59B7AA0A" w14:textId="77777777" w:rsidR="004656D4" w:rsidRPr="00CD127A" w:rsidRDefault="004656D4" w:rsidP="002115EB">
            <w:pPr>
              <w:pStyle w:val="BodyText"/>
              <w:rPr>
                <w:highlight w:val="magenta"/>
              </w:rPr>
            </w:pPr>
            <w:r w:rsidRPr="00CD127A">
              <w:rPr>
                <w:highlight w:val="magenta"/>
              </w:rPr>
              <w:t>90</w:t>
            </w:r>
          </w:p>
        </w:tc>
        <w:tc>
          <w:tcPr>
            <w:tcW w:w="505" w:type="dxa"/>
            <w:vAlign w:val="center"/>
          </w:tcPr>
          <w:p w14:paraId="76032DFA" w14:textId="77777777" w:rsidR="004656D4" w:rsidRPr="00CD127A" w:rsidRDefault="004656D4" w:rsidP="002115EB">
            <w:pPr>
              <w:pStyle w:val="BodyText"/>
              <w:rPr>
                <w:highlight w:val="magenta"/>
              </w:rPr>
            </w:pPr>
            <w:r w:rsidRPr="00CD127A">
              <w:rPr>
                <w:highlight w:val="magenta"/>
              </w:rPr>
              <w:t>100</w:t>
            </w:r>
          </w:p>
        </w:tc>
      </w:tr>
    </w:tbl>
    <w:p w14:paraId="11128EFF" w14:textId="77777777" w:rsidR="004656D4" w:rsidRPr="00CD127A" w:rsidRDefault="004656D4" w:rsidP="00EC5A23">
      <w:pPr>
        <w:tabs>
          <w:tab w:val="left" w:pos="374"/>
          <w:tab w:val="left" w:pos="561"/>
          <w:tab w:val="left" w:pos="748"/>
          <w:tab w:val="left" w:pos="935"/>
          <w:tab w:val="left" w:pos="1122"/>
        </w:tabs>
        <w:ind w:right="-46"/>
        <w:rPr>
          <w:rFonts w:ascii="Lato" w:hAnsi="Lato"/>
          <w:b/>
        </w:rPr>
      </w:pPr>
    </w:p>
    <w:tbl>
      <w:tblPr>
        <w:tblStyle w:val="RECtable1"/>
        <w:tblW w:w="9227" w:type="dxa"/>
        <w:tblLayout w:type="fixed"/>
        <w:tblLook w:val="00A0" w:firstRow="1" w:lastRow="0" w:firstColumn="1" w:lastColumn="0" w:noHBand="0" w:noVBand="0"/>
      </w:tblPr>
      <w:tblGrid>
        <w:gridCol w:w="2830"/>
        <w:gridCol w:w="491"/>
        <w:gridCol w:w="491"/>
        <w:gridCol w:w="492"/>
        <w:gridCol w:w="491"/>
        <w:gridCol w:w="492"/>
        <w:gridCol w:w="491"/>
        <w:gridCol w:w="492"/>
        <w:gridCol w:w="491"/>
        <w:gridCol w:w="492"/>
        <w:gridCol w:w="491"/>
        <w:gridCol w:w="492"/>
        <w:gridCol w:w="491"/>
        <w:gridCol w:w="492"/>
        <w:gridCol w:w="8"/>
      </w:tblGrid>
      <w:tr w:rsidR="004656D4" w:rsidRPr="00CD127A" w14:paraId="17E48803" w14:textId="77777777" w:rsidTr="006248A4">
        <w:trPr>
          <w:cnfStyle w:val="100000000000" w:firstRow="1" w:lastRow="0" w:firstColumn="0" w:lastColumn="0" w:oddVBand="0" w:evenVBand="0" w:oddHBand="0" w:evenHBand="0" w:firstRowFirstColumn="0" w:firstRowLastColumn="0" w:lastRowFirstColumn="0" w:lastRowLastColumn="0"/>
          <w:trHeight w:val="198"/>
        </w:trPr>
        <w:tc>
          <w:tcPr>
            <w:tcW w:w="9227" w:type="dxa"/>
            <w:gridSpan w:val="15"/>
          </w:tcPr>
          <w:p w14:paraId="10048164" w14:textId="77777777" w:rsidR="004656D4" w:rsidRPr="002115EB" w:rsidRDefault="004656D4" w:rsidP="002115EB">
            <w:pPr>
              <w:pStyle w:val="BodyText"/>
              <w:rPr>
                <w:b w:val="0"/>
                <w:bCs/>
                <w:highlight w:val="magenta"/>
              </w:rPr>
            </w:pPr>
            <w:r w:rsidRPr="002115EB">
              <w:rPr>
                <w:b w:val="0"/>
                <w:bCs/>
                <w:highlight w:val="magenta"/>
              </w:rPr>
              <w:t>PERIOD OF EXTENDED HIRE</w:t>
            </w:r>
          </w:p>
        </w:tc>
      </w:tr>
      <w:tr w:rsidR="00EC5A23" w:rsidRPr="00CD127A" w14:paraId="1C6BBBC6" w14:textId="77777777" w:rsidTr="00EC5A23">
        <w:trPr>
          <w:gridAfter w:val="1"/>
          <w:wAfter w:w="8" w:type="dxa"/>
          <w:cantSplit/>
        </w:trPr>
        <w:tc>
          <w:tcPr>
            <w:tcW w:w="2830" w:type="dxa"/>
          </w:tcPr>
          <w:p w14:paraId="354294C9" w14:textId="77777777" w:rsidR="004656D4" w:rsidRPr="002115EB" w:rsidRDefault="004656D4" w:rsidP="002115EB">
            <w:pPr>
              <w:pStyle w:val="BodyText"/>
              <w:rPr>
                <w:b/>
                <w:highlight w:val="magenta"/>
              </w:rPr>
            </w:pPr>
            <w:r w:rsidRPr="002115EB">
              <w:rPr>
                <w:b/>
                <w:highlight w:val="magenta"/>
              </w:rPr>
              <w:t>Number of weeks the Temporary Resource has been supplied to the Client prior to the start of the Period of Extended Hire</w:t>
            </w:r>
          </w:p>
        </w:tc>
        <w:tc>
          <w:tcPr>
            <w:tcW w:w="491" w:type="dxa"/>
            <w:vAlign w:val="center"/>
          </w:tcPr>
          <w:p w14:paraId="5652B79D" w14:textId="7482ECD2" w:rsidR="004656D4" w:rsidRPr="00CD127A" w:rsidRDefault="004656D4" w:rsidP="002115EB">
            <w:pPr>
              <w:pStyle w:val="BodyText"/>
              <w:rPr>
                <w:highlight w:val="magenta"/>
              </w:rPr>
            </w:pPr>
            <w:r w:rsidRPr="00CD127A">
              <w:rPr>
                <w:highlight w:val="magenta"/>
              </w:rPr>
              <w:t>0</w:t>
            </w:r>
          </w:p>
        </w:tc>
        <w:tc>
          <w:tcPr>
            <w:tcW w:w="491" w:type="dxa"/>
            <w:vAlign w:val="center"/>
          </w:tcPr>
          <w:p w14:paraId="3E5ADEA6" w14:textId="77777777" w:rsidR="004656D4" w:rsidRPr="00CD127A" w:rsidRDefault="004656D4" w:rsidP="002115EB">
            <w:pPr>
              <w:pStyle w:val="BodyText"/>
              <w:rPr>
                <w:highlight w:val="magenta"/>
              </w:rPr>
            </w:pPr>
            <w:r w:rsidRPr="00CD127A">
              <w:rPr>
                <w:highlight w:val="magenta"/>
              </w:rPr>
              <w:t>1</w:t>
            </w:r>
          </w:p>
        </w:tc>
        <w:tc>
          <w:tcPr>
            <w:tcW w:w="492" w:type="dxa"/>
            <w:vAlign w:val="center"/>
          </w:tcPr>
          <w:p w14:paraId="3F1C4D43" w14:textId="77777777" w:rsidR="004656D4" w:rsidRPr="00CD127A" w:rsidRDefault="004656D4" w:rsidP="002115EB">
            <w:pPr>
              <w:pStyle w:val="BodyText"/>
              <w:rPr>
                <w:highlight w:val="magenta"/>
              </w:rPr>
            </w:pPr>
            <w:r w:rsidRPr="00CD127A">
              <w:rPr>
                <w:highlight w:val="magenta"/>
              </w:rPr>
              <w:t>2</w:t>
            </w:r>
          </w:p>
        </w:tc>
        <w:tc>
          <w:tcPr>
            <w:tcW w:w="491" w:type="dxa"/>
            <w:vAlign w:val="center"/>
          </w:tcPr>
          <w:p w14:paraId="3BCCDDB4" w14:textId="77777777" w:rsidR="004656D4" w:rsidRPr="00CD127A" w:rsidRDefault="004656D4" w:rsidP="002115EB">
            <w:pPr>
              <w:pStyle w:val="BodyText"/>
              <w:rPr>
                <w:highlight w:val="magenta"/>
              </w:rPr>
            </w:pPr>
            <w:r w:rsidRPr="00CD127A">
              <w:rPr>
                <w:highlight w:val="magenta"/>
              </w:rPr>
              <w:t>3</w:t>
            </w:r>
          </w:p>
        </w:tc>
        <w:tc>
          <w:tcPr>
            <w:tcW w:w="492" w:type="dxa"/>
            <w:vAlign w:val="center"/>
          </w:tcPr>
          <w:p w14:paraId="3D621E7A" w14:textId="77777777" w:rsidR="004656D4" w:rsidRPr="00CD127A" w:rsidRDefault="004656D4" w:rsidP="002115EB">
            <w:pPr>
              <w:pStyle w:val="BodyText"/>
              <w:rPr>
                <w:highlight w:val="magenta"/>
              </w:rPr>
            </w:pPr>
            <w:r w:rsidRPr="00CD127A">
              <w:rPr>
                <w:highlight w:val="magenta"/>
              </w:rPr>
              <w:t>4</w:t>
            </w:r>
          </w:p>
        </w:tc>
        <w:tc>
          <w:tcPr>
            <w:tcW w:w="491" w:type="dxa"/>
            <w:vAlign w:val="center"/>
          </w:tcPr>
          <w:p w14:paraId="78381139" w14:textId="77777777" w:rsidR="004656D4" w:rsidRPr="00CD127A" w:rsidRDefault="004656D4" w:rsidP="002115EB">
            <w:pPr>
              <w:pStyle w:val="BodyText"/>
              <w:rPr>
                <w:highlight w:val="magenta"/>
              </w:rPr>
            </w:pPr>
            <w:r w:rsidRPr="00CD127A">
              <w:rPr>
                <w:highlight w:val="magenta"/>
              </w:rPr>
              <w:t>5</w:t>
            </w:r>
          </w:p>
        </w:tc>
        <w:tc>
          <w:tcPr>
            <w:tcW w:w="492" w:type="dxa"/>
            <w:vAlign w:val="center"/>
          </w:tcPr>
          <w:p w14:paraId="19F9AEEC" w14:textId="77777777" w:rsidR="004656D4" w:rsidRPr="00CD127A" w:rsidRDefault="004656D4" w:rsidP="002115EB">
            <w:pPr>
              <w:pStyle w:val="BodyText"/>
              <w:rPr>
                <w:highlight w:val="magenta"/>
              </w:rPr>
            </w:pPr>
            <w:r w:rsidRPr="00CD127A">
              <w:rPr>
                <w:highlight w:val="magenta"/>
              </w:rPr>
              <w:t>6</w:t>
            </w:r>
          </w:p>
        </w:tc>
        <w:tc>
          <w:tcPr>
            <w:tcW w:w="491" w:type="dxa"/>
            <w:vAlign w:val="center"/>
          </w:tcPr>
          <w:p w14:paraId="1AB846EA" w14:textId="77777777" w:rsidR="004656D4" w:rsidRPr="00CD127A" w:rsidRDefault="004656D4" w:rsidP="002115EB">
            <w:pPr>
              <w:pStyle w:val="BodyText"/>
              <w:rPr>
                <w:highlight w:val="magenta"/>
              </w:rPr>
            </w:pPr>
            <w:r w:rsidRPr="00CD127A">
              <w:rPr>
                <w:highlight w:val="magenta"/>
              </w:rPr>
              <w:t>7</w:t>
            </w:r>
          </w:p>
        </w:tc>
        <w:tc>
          <w:tcPr>
            <w:tcW w:w="492" w:type="dxa"/>
            <w:vAlign w:val="center"/>
          </w:tcPr>
          <w:p w14:paraId="2A8534CF" w14:textId="77777777" w:rsidR="004656D4" w:rsidRPr="00CD127A" w:rsidRDefault="004656D4" w:rsidP="002115EB">
            <w:pPr>
              <w:pStyle w:val="BodyText"/>
              <w:rPr>
                <w:highlight w:val="magenta"/>
              </w:rPr>
            </w:pPr>
            <w:r w:rsidRPr="00CD127A">
              <w:rPr>
                <w:highlight w:val="magenta"/>
              </w:rPr>
              <w:t>8</w:t>
            </w:r>
          </w:p>
        </w:tc>
        <w:tc>
          <w:tcPr>
            <w:tcW w:w="491" w:type="dxa"/>
            <w:vAlign w:val="center"/>
          </w:tcPr>
          <w:p w14:paraId="5347ACB5" w14:textId="77777777" w:rsidR="004656D4" w:rsidRPr="00CD127A" w:rsidRDefault="004656D4" w:rsidP="002115EB">
            <w:pPr>
              <w:pStyle w:val="BodyText"/>
              <w:rPr>
                <w:highlight w:val="magenta"/>
              </w:rPr>
            </w:pPr>
            <w:r w:rsidRPr="00CD127A">
              <w:rPr>
                <w:highlight w:val="magenta"/>
              </w:rPr>
              <w:t>9</w:t>
            </w:r>
          </w:p>
        </w:tc>
        <w:tc>
          <w:tcPr>
            <w:tcW w:w="492" w:type="dxa"/>
            <w:vAlign w:val="center"/>
          </w:tcPr>
          <w:p w14:paraId="7FB98ED7" w14:textId="77777777" w:rsidR="004656D4" w:rsidRPr="00CD127A" w:rsidRDefault="004656D4" w:rsidP="002115EB">
            <w:pPr>
              <w:pStyle w:val="BodyText"/>
              <w:rPr>
                <w:highlight w:val="magenta"/>
              </w:rPr>
            </w:pPr>
            <w:r w:rsidRPr="00CD127A">
              <w:rPr>
                <w:highlight w:val="magenta"/>
              </w:rPr>
              <w:t>10</w:t>
            </w:r>
          </w:p>
        </w:tc>
        <w:tc>
          <w:tcPr>
            <w:tcW w:w="491" w:type="dxa"/>
            <w:vAlign w:val="center"/>
          </w:tcPr>
          <w:p w14:paraId="0CA9CE50" w14:textId="77777777" w:rsidR="004656D4" w:rsidRPr="00CD127A" w:rsidRDefault="004656D4" w:rsidP="002115EB">
            <w:pPr>
              <w:pStyle w:val="BodyText"/>
              <w:rPr>
                <w:highlight w:val="magenta"/>
              </w:rPr>
            </w:pPr>
            <w:r w:rsidRPr="00CD127A">
              <w:rPr>
                <w:highlight w:val="magenta"/>
              </w:rPr>
              <w:t>11</w:t>
            </w:r>
          </w:p>
        </w:tc>
        <w:tc>
          <w:tcPr>
            <w:tcW w:w="492" w:type="dxa"/>
            <w:vAlign w:val="center"/>
          </w:tcPr>
          <w:p w14:paraId="695C7E72" w14:textId="5DC420C9" w:rsidR="004656D4" w:rsidRPr="00CD127A" w:rsidRDefault="004656D4" w:rsidP="002115EB">
            <w:pPr>
              <w:pStyle w:val="BodyText"/>
              <w:rPr>
                <w:highlight w:val="magenta"/>
              </w:rPr>
            </w:pPr>
            <w:r w:rsidRPr="00CD127A">
              <w:rPr>
                <w:highlight w:val="magenta"/>
              </w:rPr>
              <w:t>12</w:t>
            </w:r>
          </w:p>
        </w:tc>
      </w:tr>
      <w:tr w:rsidR="00EC5A23" w:rsidRPr="00CD127A" w14:paraId="3F1A1522" w14:textId="77777777" w:rsidTr="00EC5A23">
        <w:trPr>
          <w:gridAfter w:val="1"/>
          <w:wAfter w:w="8" w:type="dxa"/>
          <w:trHeight w:val="370"/>
        </w:trPr>
        <w:tc>
          <w:tcPr>
            <w:tcW w:w="2830" w:type="dxa"/>
          </w:tcPr>
          <w:p w14:paraId="6C0F6508" w14:textId="77777777" w:rsidR="004656D4" w:rsidRPr="002115EB" w:rsidRDefault="004656D4" w:rsidP="002115EB">
            <w:pPr>
              <w:pStyle w:val="BodyText"/>
              <w:rPr>
                <w:b/>
                <w:highlight w:val="magenta"/>
              </w:rPr>
            </w:pPr>
            <w:r w:rsidRPr="002115EB">
              <w:rPr>
                <w:b/>
                <w:highlight w:val="magenta"/>
              </w:rPr>
              <w:t xml:space="preserve"> Period of Extended Hire (in weeks)</w:t>
            </w:r>
          </w:p>
        </w:tc>
        <w:tc>
          <w:tcPr>
            <w:tcW w:w="491" w:type="dxa"/>
            <w:vAlign w:val="center"/>
          </w:tcPr>
          <w:p w14:paraId="25A3D666" w14:textId="77777777" w:rsidR="004656D4" w:rsidRPr="00CD127A" w:rsidRDefault="004656D4" w:rsidP="002115EB">
            <w:pPr>
              <w:pStyle w:val="BodyText"/>
              <w:rPr>
                <w:highlight w:val="magenta"/>
              </w:rPr>
            </w:pPr>
            <w:r w:rsidRPr="00CD127A">
              <w:rPr>
                <w:highlight w:val="magenta"/>
              </w:rPr>
              <w:t>12</w:t>
            </w:r>
          </w:p>
        </w:tc>
        <w:tc>
          <w:tcPr>
            <w:tcW w:w="491" w:type="dxa"/>
            <w:vAlign w:val="center"/>
          </w:tcPr>
          <w:p w14:paraId="1964CF83" w14:textId="77777777" w:rsidR="004656D4" w:rsidRPr="00CD127A" w:rsidRDefault="004656D4" w:rsidP="002115EB">
            <w:pPr>
              <w:pStyle w:val="BodyText"/>
              <w:rPr>
                <w:highlight w:val="magenta"/>
              </w:rPr>
            </w:pPr>
            <w:r w:rsidRPr="00CD127A">
              <w:rPr>
                <w:highlight w:val="magenta"/>
              </w:rPr>
              <w:t>11</w:t>
            </w:r>
          </w:p>
        </w:tc>
        <w:tc>
          <w:tcPr>
            <w:tcW w:w="492" w:type="dxa"/>
            <w:vAlign w:val="center"/>
          </w:tcPr>
          <w:p w14:paraId="4B79A0DE" w14:textId="77777777" w:rsidR="004656D4" w:rsidRPr="00CD127A" w:rsidRDefault="004656D4" w:rsidP="002115EB">
            <w:pPr>
              <w:pStyle w:val="BodyText"/>
              <w:rPr>
                <w:highlight w:val="magenta"/>
              </w:rPr>
            </w:pPr>
            <w:r w:rsidRPr="00CD127A">
              <w:rPr>
                <w:highlight w:val="magenta"/>
              </w:rPr>
              <w:t>10</w:t>
            </w:r>
          </w:p>
        </w:tc>
        <w:tc>
          <w:tcPr>
            <w:tcW w:w="491" w:type="dxa"/>
            <w:vAlign w:val="center"/>
          </w:tcPr>
          <w:p w14:paraId="141D3B0B" w14:textId="77777777" w:rsidR="004656D4" w:rsidRPr="00CD127A" w:rsidRDefault="004656D4" w:rsidP="002115EB">
            <w:pPr>
              <w:pStyle w:val="BodyText"/>
              <w:rPr>
                <w:highlight w:val="magenta"/>
              </w:rPr>
            </w:pPr>
            <w:r w:rsidRPr="00CD127A">
              <w:rPr>
                <w:highlight w:val="magenta"/>
              </w:rPr>
              <w:t>9</w:t>
            </w:r>
          </w:p>
        </w:tc>
        <w:tc>
          <w:tcPr>
            <w:tcW w:w="492" w:type="dxa"/>
            <w:vAlign w:val="center"/>
          </w:tcPr>
          <w:p w14:paraId="406ED908" w14:textId="77777777" w:rsidR="004656D4" w:rsidRPr="00CD127A" w:rsidRDefault="004656D4" w:rsidP="002115EB">
            <w:pPr>
              <w:pStyle w:val="BodyText"/>
              <w:rPr>
                <w:highlight w:val="magenta"/>
              </w:rPr>
            </w:pPr>
            <w:r w:rsidRPr="00CD127A">
              <w:rPr>
                <w:highlight w:val="magenta"/>
              </w:rPr>
              <w:t>8</w:t>
            </w:r>
          </w:p>
        </w:tc>
        <w:tc>
          <w:tcPr>
            <w:tcW w:w="491" w:type="dxa"/>
            <w:vAlign w:val="center"/>
          </w:tcPr>
          <w:p w14:paraId="7788DF0B" w14:textId="77777777" w:rsidR="004656D4" w:rsidRPr="00CD127A" w:rsidRDefault="004656D4" w:rsidP="002115EB">
            <w:pPr>
              <w:pStyle w:val="BodyText"/>
              <w:rPr>
                <w:highlight w:val="magenta"/>
              </w:rPr>
            </w:pPr>
            <w:r w:rsidRPr="00CD127A">
              <w:rPr>
                <w:highlight w:val="magenta"/>
              </w:rPr>
              <w:t>7</w:t>
            </w:r>
          </w:p>
        </w:tc>
        <w:tc>
          <w:tcPr>
            <w:tcW w:w="492" w:type="dxa"/>
            <w:vAlign w:val="center"/>
          </w:tcPr>
          <w:p w14:paraId="58E1B2B7" w14:textId="77777777" w:rsidR="004656D4" w:rsidRPr="00CD127A" w:rsidRDefault="004656D4" w:rsidP="002115EB">
            <w:pPr>
              <w:pStyle w:val="BodyText"/>
              <w:rPr>
                <w:highlight w:val="magenta"/>
              </w:rPr>
            </w:pPr>
            <w:r w:rsidRPr="00CD127A">
              <w:rPr>
                <w:highlight w:val="magenta"/>
              </w:rPr>
              <w:t>6</w:t>
            </w:r>
          </w:p>
        </w:tc>
        <w:tc>
          <w:tcPr>
            <w:tcW w:w="491" w:type="dxa"/>
            <w:vAlign w:val="center"/>
          </w:tcPr>
          <w:p w14:paraId="6591EAEC" w14:textId="77777777" w:rsidR="004656D4" w:rsidRPr="00CD127A" w:rsidRDefault="004656D4" w:rsidP="002115EB">
            <w:pPr>
              <w:pStyle w:val="BodyText"/>
              <w:rPr>
                <w:highlight w:val="magenta"/>
              </w:rPr>
            </w:pPr>
            <w:r w:rsidRPr="00CD127A">
              <w:rPr>
                <w:highlight w:val="magenta"/>
              </w:rPr>
              <w:t>5</w:t>
            </w:r>
          </w:p>
        </w:tc>
        <w:tc>
          <w:tcPr>
            <w:tcW w:w="492" w:type="dxa"/>
            <w:vAlign w:val="center"/>
          </w:tcPr>
          <w:p w14:paraId="29EE54C6" w14:textId="77777777" w:rsidR="004656D4" w:rsidRPr="00CD127A" w:rsidRDefault="004656D4" w:rsidP="002115EB">
            <w:pPr>
              <w:pStyle w:val="BodyText"/>
              <w:rPr>
                <w:highlight w:val="magenta"/>
              </w:rPr>
            </w:pPr>
            <w:r w:rsidRPr="00CD127A">
              <w:rPr>
                <w:highlight w:val="magenta"/>
              </w:rPr>
              <w:t>4</w:t>
            </w:r>
          </w:p>
        </w:tc>
        <w:tc>
          <w:tcPr>
            <w:tcW w:w="491" w:type="dxa"/>
            <w:vAlign w:val="center"/>
          </w:tcPr>
          <w:p w14:paraId="3736FF21" w14:textId="77777777" w:rsidR="004656D4" w:rsidRPr="00CD127A" w:rsidRDefault="004656D4" w:rsidP="002115EB">
            <w:pPr>
              <w:pStyle w:val="BodyText"/>
              <w:rPr>
                <w:highlight w:val="magenta"/>
              </w:rPr>
            </w:pPr>
            <w:r w:rsidRPr="00CD127A">
              <w:rPr>
                <w:highlight w:val="magenta"/>
              </w:rPr>
              <w:t>3</w:t>
            </w:r>
          </w:p>
        </w:tc>
        <w:tc>
          <w:tcPr>
            <w:tcW w:w="492" w:type="dxa"/>
            <w:vAlign w:val="center"/>
          </w:tcPr>
          <w:p w14:paraId="53E66E9A" w14:textId="77777777" w:rsidR="004656D4" w:rsidRPr="00CD127A" w:rsidRDefault="004656D4" w:rsidP="002115EB">
            <w:pPr>
              <w:pStyle w:val="BodyText"/>
              <w:rPr>
                <w:highlight w:val="magenta"/>
              </w:rPr>
            </w:pPr>
            <w:r w:rsidRPr="00CD127A">
              <w:rPr>
                <w:highlight w:val="magenta"/>
              </w:rPr>
              <w:t>2</w:t>
            </w:r>
          </w:p>
        </w:tc>
        <w:tc>
          <w:tcPr>
            <w:tcW w:w="491" w:type="dxa"/>
            <w:vAlign w:val="center"/>
          </w:tcPr>
          <w:p w14:paraId="4A2DED13" w14:textId="77777777" w:rsidR="004656D4" w:rsidRPr="00CD127A" w:rsidRDefault="004656D4" w:rsidP="002115EB">
            <w:pPr>
              <w:pStyle w:val="BodyText"/>
              <w:rPr>
                <w:highlight w:val="magenta"/>
              </w:rPr>
            </w:pPr>
            <w:r w:rsidRPr="00CD127A">
              <w:rPr>
                <w:highlight w:val="magenta"/>
              </w:rPr>
              <w:t>1</w:t>
            </w:r>
          </w:p>
        </w:tc>
        <w:tc>
          <w:tcPr>
            <w:tcW w:w="492" w:type="dxa"/>
            <w:vAlign w:val="center"/>
          </w:tcPr>
          <w:p w14:paraId="5EECD7A7" w14:textId="77777777" w:rsidR="004656D4" w:rsidRPr="00CD127A" w:rsidRDefault="004656D4" w:rsidP="002115EB">
            <w:pPr>
              <w:pStyle w:val="BodyText"/>
              <w:rPr>
                <w:highlight w:val="magenta"/>
              </w:rPr>
            </w:pPr>
            <w:r w:rsidRPr="00CD127A">
              <w:rPr>
                <w:highlight w:val="magenta"/>
              </w:rPr>
              <w:t>0</w:t>
            </w:r>
          </w:p>
        </w:tc>
      </w:tr>
    </w:tbl>
    <w:p w14:paraId="2F4887B8" w14:textId="77777777" w:rsidR="00EB5DBF" w:rsidRDefault="00EB5DBF" w:rsidP="00FE1620">
      <w:pPr>
        <w:pStyle w:val="BodyText3"/>
        <w:tabs>
          <w:tab w:val="left" w:pos="374"/>
          <w:tab w:val="left" w:pos="561"/>
          <w:tab w:val="left" w:pos="748"/>
          <w:tab w:val="left" w:pos="935"/>
          <w:tab w:val="left" w:pos="1122"/>
        </w:tabs>
        <w:ind w:right="284"/>
        <w:rPr>
          <w:rFonts w:ascii="Lato" w:hAnsi="Lato"/>
          <w:b/>
          <w:i/>
          <w:color w:val="5974D4" w:themeColor="background1"/>
          <w:sz w:val="22"/>
          <w:szCs w:val="22"/>
        </w:rPr>
      </w:pPr>
    </w:p>
    <w:p w14:paraId="2A45DA7D" w14:textId="0C8B6EFF" w:rsidR="004656D4" w:rsidRDefault="004656D4" w:rsidP="00FE1620">
      <w:pPr>
        <w:pStyle w:val="BodyText3"/>
        <w:tabs>
          <w:tab w:val="left" w:pos="374"/>
          <w:tab w:val="left" w:pos="561"/>
          <w:tab w:val="left" w:pos="748"/>
          <w:tab w:val="left" w:pos="935"/>
          <w:tab w:val="left" w:pos="1122"/>
        </w:tabs>
        <w:ind w:right="284"/>
        <w:rPr>
          <w:rFonts w:ascii="Lato" w:hAnsi="Lato"/>
          <w:b/>
          <w:i/>
          <w:color w:val="5974D4" w:themeColor="background1"/>
          <w:sz w:val="22"/>
          <w:szCs w:val="22"/>
        </w:rPr>
      </w:pPr>
      <w:r w:rsidRPr="00FE1620">
        <w:rPr>
          <w:rFonts w:ascii="Lato" w:hAnsi="Lato"/>
          <w:b/>
          <w:i/>
          <w:color w:val="5974D4" w:themeColor="background1"/>
          <w:sz w:val="22"/>
          <w:szCs w:val="22"/>
        </w:rPr>
        <w:t>Or use the following simplified sliding scales if preferred and delete the scales above</w:t>
      </w:r>
    </w:p>
    <w:p w14:paraId="5C2DD53F" w14:textId="77777777" w:rsidR="00EB5DBF" w:rsidRPr="00EC5A23" w:rsidRDefault="00EB5DBF" w:rsidP="00FE1620">
      <w:pPr>
        <w:pStyle w:val="BodyText3"/>
        <w:tabs>
          <w:tab w:val="left" w:pos="374"/>
          <w:tab w:val="left" w:pos="561"/>
          <w:tab w:val="left" w:pos="748"/>
          <w:tab w:val="left" w:pos="935"/>
          <w:tab w:val="left" w:pos="1122"/>
        </w:tabs>
        <w:ind w:right="284"/>
        <w:rPr>
          <w:rFonts w:ascii="Lato" w:hAnsi="Lato"/>
          <w:b/>
          <w:i/>
          <w:color w:val="5974D4" w:themeColor="background1"/>
          <w:sz w:val="22"/>
          <w:szCs w:val="22"/>
        </w:rPr>
      </w:pPr>
    </w:p>
    <w:tbl>
      <w:tblPr>
        <w:tblStyle w:val="RECtable1"/>
        <w:tblW w:w="9067" w:type="dxa"/>
        <w:jc w:val="center"/>
        <w:tblLayout w:type="fixed"/>
        <w:tblLook w:val="00A0" w:firstRow="1" w:lastRow="0" w:firstColumn="1" w:lastColumn="0" w:noHBand="0" w:noVBand="0"/>
      </w:tblPr>
      <w:tblGrid>
        <w:gridCol w:w="5240"/>
        <w:gridCol w:w="1913"/>
        <w:gridCol w:w="1914"/>
      </w:tblGrid>
      <w:tr w:rsidR="004656D4" w:rsidRPr="00CD127A" w14:paraId="0A16A65D" w14:textId="77777777" w:rsidTr="002115EB">
        <w:trPr>
          <w:cnfStyle w:val="100000000000" w:firstRow="1" w:lastRow="0" w:firstColumn="0" w:lastColumn="0" w:oddVBand="0" w:evenVBand="0" w:oddHBand="0" w:evenHBand="0" w:firstRowFirstColumn="0" w:firstRowLastColumn="0" w:lastRowFirstColumn="0" w:lastRowLastColumn="0"/>
          <w:trHeight w:val="161"/>
          <w:jc w:val="center"/>
        </w:trPr>
        <w:tc>
          <w:tcPr>
            <w:tcW w:w="9067" w:type="dxa"/>
            <w:gridSpan w:val="3"/>
          </w:tcPr>
          <w:p w14:paraId="54DBAA07" w14:textId="77777777" w:rsidR="004656D4" w:rsidRPr="002115EB" w:rsidRDefault="004656D4" w:rsidP="00704B8D">
            <w:pPr>
              <w:pStyle w:val="BodyText"/>
              <w:rPr>
                <w:b w:val="0"/>
                <w:bCs/>
                <w:highlight w:val="magenta"/>
              </w:rPr>
            </w:pPr>
            <w:r w:rsidRPr="002115EB">
              <w:rPr>
                <w:b w:val="0"/>
                <w:bCs/>
                <w:highlight w:val="magenta"/>
              </w:rPr>
              <w:t>SCALE OF TRANSFER FEE REBATES</w:t>
            </w:r>
          </w:p>
        </w:tc>
      </w:tr>
      <w:tr w:rsidR="004656D4" w:rsidRPr="00CD127A" w14:paraId="34DC7DBE" w14:textId="77777777" w:rsidTr="00EB5DBF">
        <w:trPr>
          <w:jc w:val="center"/>
        </w:trPr>
        <w:tc>
          <w:tcPr>
            <w:tcW w:w="5240" w:type="dxa"/>
          </w:tcPr>
          <w:p w14:paraId="21F8ECC4" w14:textId="77777777" w:rsidR="004656D4" w:rsidRPr="00CD127A" w:rsidRDefault="004656D4" w:rsidP="00FE1620">
            <w:pPr>
              <w:tabs>
                <w:tab w:val="left" w:pos="374"/>
                <w:tab w:val="left" w:pos="561"/>
                <w:tab w:val="left" w:pos="748"/>
                <w:tab w:val="left" w:pos="935"/>
                <w:tab w:val="left" w:pos="1122"/>
              </w:tabs>
              <w:ind w:right="284"/>
              <w:rPr>
                <w:rFonts w:ascii="Lato" w:hAnsi="Lato"/>
                <w:b/>
                <w:bCs/>
                <w:highlight w:val="magenta"/>
              </w:rPr>
            </w:pPr>
            <w:r w:rsidRPr="00CD127A">
              <w:rPr>
                <w:rFonts w:ascii="Lato" w:hAnsi="Lato"/>
                <w:b/>
                <w:bCs/>
                <w:highlight w:val="magenta"/>
              </w:rPr>
              <w:t xml:space="preserve">Number of complete weeks the </w:t>
            </w:r>
            <w:r>
              <w:rPr>
                <w:rFonts w:ascii="Lato" w:hAnsi="Lato"/>
                <w:b/>
                <w:highlight w:val="magenta"/>
              </w:rPr>
              <w:t>Temporary Resource</w:t>
            </w:r>
            <w:r w:rsidRPr="00CD127A">
              <w:rPr>
                <w:rFonts w:ascii="Lato" w:hAnsi="Lato"/>
                <w:b/>
                <w:highlight w:val="magenta"/>
              </w:rPr>
              <w:t xml:space="preserve"> </w:t>
            </w:r>
            <w:r w:rsidRPr="00CD127A">
              <w:rPr>
                <w:rFonts w:ascii="Lato" w:hAnsi="Lato"/>
                <w:b/>
                <w:bCs/>
                <w:highlight w:val="magenta"/>
              </w:rPr>
              <w:t>has been supplied prior to the Client serving notice under clause</w:t>
            </w:r>
            <w:r>
              <w:rPr>
                <w:rFonts w:ascii="Lato" w:hAnsi="Lato"/>
                <w:b/>
                <w:bCs/>
                <w:highlight w:val="magenta"/>
              </w:rPr>
              <w:t xml:space="preserve"> 8</w:t>
            </w:r>
            <w:r w:rsidRPr="00CD127A">
              <w:rPr>
                <w:rFonts w:ascii="Lato" w:hAnsi="Lato"/>
                <w:b/>
                <w:bCs/>
                <w:highlight w:val="magenta"/>
              </w:rPr>
              <w:t xml:space="preserve"> above.</w:t>
            </w:r>
          </w:p>
        </w:tc>
        <w:tc>
          <w:tcPr>
            <w:tcW w:w="1913" w:type="dxa"/>
            <w:vAlign w:val="center"/>
          </w:tcPr>
          <w:p w14:paraId="659FF0C5" w14:textId="77777777" w:rsidR="004656D4" w:rsidRPr="00466122" w:rsidRDefault="004656D4" w:rsidP="00102089">
            <w:pPr>
              <w:pStyle w:val="BodyText"/>
              <w:jc w:val="center"/>
              <w:rPr>
                <w:bCs/>
                <w:highlight w:val="magenta"/>
              </w:rPr>
            </w:pPr>
            <w:r w:rsidRPr="00466122">
              <w:rPr>
                <w:bCs/>
                <w:highlight w:val="magenta"/>
              </w:rPr>
              <w:t>0 to 12 weeks</w:t>
            </w:r>
          </w:p>
        </w:tc>
        <w:tc>
          <w:tcPr>
            <w:tcW w:w="1914" w:type="dxa"/>
            <w:vAlign w:val="center"/>
          </w:tcPr>
          <w:p w14:paraId="43E4A00A" w14:textId="77777777" w:rsidR="004656D4" w:rsidRPr="00CD127A" w:rsidRDefault="004656D4" w:rsidP="00102089">
            <w:pPr>
              <w:pStyle w:val="BodyText"/>
              <w:jc w:val="center"/>
              <w:rPr>
                <w:bCs/>
                <w:highlight w:val="magenta"/>
              </w:rPr>
            </w:pPr>
            <w:r w:rsidRPr="00CD127A">
              <w:rPr>
                <w:bCs/>
                <w:highlight w:val="magenta"/>
              </w:rPr>
              <w:t>13 weeks or more</w:t>
            </w:r>
          </w:p>
        </w:tc>
      </w:tr>
      <w:tr w:rsidR="004656D4" w:rsidRPr="00CD127A" w14:paraId="3AA31D84" w14:textId="77777777" w:rsidTr="00EB5DBF">
        <w:trPr>
          <w:trHeight w:val="384"/>
          <w:jc w:val="center"/>
        </w:trPr>
        <w:tc>
          <w:tcPr>
            <w:tcW w:w="5240" w:type="dxa"/>
          </w:tcPr>
          <w:p w14:paraId="09D0C143" w14:textId="77777777" w:rsidR="004656D4" w:rsidRPr="00CD127A" w:rsidRDefault="004656D4" w:rsidP="00FE1620">
            <w:pPr>
              <w:tabs>
                <w:tab w:val="left" w:pos="374"/>
                <w:tab w:val="left" w:pos="561"/>
                <w:tab w:val="left" w:pos="748"/>
                <w:tab w:val="left" w:pos="935"/>
                <w:tab w:val="left" w:pos="1122"/>
              </w:tabs>
              <w:ind w:right="284"/>
              <w:rPr>
                <w:rFonts w:ascii="Lato" w:hAnsi="Lato"/>
                <w:b/>
                <w:bCs/>
                <w:highlight w:val="magenta"/>
              </w:rPr>
            </w:pPr>
            <w:r w:rsidRPr="00CD127A">
              <w:rPr>
                <w:rFonts w:ascii="Lato" w:hAnsi="Lato"/>
                <w:b/>
                <w:bCs/>
                <w:highlight w:val="magenta"/>
              </w:rPr>
              <w:t>Transfer fee rebate (as a % of the fee set out in clause</w:t>
            </w:r>
            <w:r>
              <w:rPr>
                <w:rFonts w:ascii="Lato" w:hAnsi="Lato"/>
                <w:b/>
                <w:bCs/>
                <w:highlight w:val="magenta"/>
              </w:rPr>
              <w:t xml:space="preserve"> 8</w:t>
            </w:r>
            <w:r w:rsidRPr="00CD127A">
              <w:rPr>
                <w:rFonts w:ascii="Lato" w:hAnsi="Lato"/>
                <w:b/>
                <w:bCs/>
                <w:highlight w:val="magenta"/>
              </w:rPr>
              <w:t xml:space="preserve"> and above)</w:t>
            </w:r>
          </w:p>
        </w:tc>
        <w:tc>
          <w:tcPr>
            <w:tcW w:w="1913" w:type="dxa"/>
            <w:vAlign w:val="center"/>
          </w:tcPr>
          <w:p w14:paraId="2892D5A6" w14:textId="77777777" w:rsidR="004656D4" w:rsidRPr="00CD127A" w:rsidRDefault="004656D4" w:rsidP="00102089">
            <w:pPr>
              <w:pStyle w:val="BodyText"/>
              <w:jc w:val="center"/>
              <w:rPr>
                <w:bCs/>
                <w:highlight w:val="magenta"/>
              </w:rPr>
            </w:pPr>
            <w:r w:rsidRPr="00CD127A">
              <w:rPr>
                <w:bCs/>
                <w:highlight w:val="magenta"/>
              </w:rPr>
              <w:t>0%</w:t>
            </w:r>
          </w:p>
        </w:tc>
        <w:tc>
          <w:tcPr>
            <w:tcW w:w="1914" w:type="dxa"/>
            <w:vAlign w:val="center"/>
          </w:tcPr>
          <w:p w14:paraId="241AFE86" w14:textId="77777777" w:rsidR="004656D4" w:rsidRPr="00CD127A" w:rsidRDefault="004656D4" w:rsidP="00102089">
            <w:pPr>
              <w:pStyle w:val="BodyText"/>
              <w:jc w:val="center"/>
              <w:rPr>
                <w:bCs/>
                <w:highlight w:val="magenta"/>
              </w:rPr>
            </w:pPr>
            <w:r w:rsidRPr="00CD127A">
              <w:rPr>
                <w:bCs/>
                <w:highlight w:val="magenta"/>
              </w:rPr>
              <w:t>100%</w:t>
            </w:r>
          </w:p>
        </w:tc>
      </w:tr>
    </w:tbl>
    <w:p w14:paraId="6788FDDD" w14:textId="1F2D6A8B" w:rsidR="004656D4" w:rsidRPr="00102089" w:rsidRDefault="004656D4" w:rsidP="002115EB">
      <w:pPr>
        <w:ind w:right="284"/>
        <w:rPr>
          <w:rFonts w:ascii="Lato" w:hAnsi="Lato"/>
          <w:b/>
          <w:highlight w:val="magenta"/>
        </w:rPr>
      </w:pPr>
      <w:r w:rsidRPr="00CD127A" w:rsidDel="000832BC">
        <w:rPr>
          <w:rFonts w:ascii="Lato" w:hAnsi="Lato"/>
          <w:b/>
          <w:iCs/>
          <w:highlight w:val="magenta"/>
        </w:rPr>
        <w:t xml:space="preserve"> </w:t>
      </w:r>
    </w:p>
    <w:tbl>
      <w:tblPr>
        <w:tblStyle w:val="RECtable1"/>
        <w:tblW w:w="9067" w:type="dxa"/>
        <w:tblLayout w:type="fixed"/>
        <w:tblLook w:val="00A0" w:firstRow="1" w:lastRow="0" w:firstColumn="1" w:lastColumn="0" w:noHBand="0" w:noVBand="0"/>
      </w:tblPr>
      <w:tblGrid>
        <w:gridCol w:w="5240"/>
        <w:gridCol w:w="1913"/>
        <w:gridCol w:w="1914"/>
      </w:tblGrid>
      <w:tr w:rsidR="004656D4" w:rsidRPr="00CD127A" w14:paraId="01F16C01" w14:textId="77777777" w:rsidTr="00704B8D">
        <w:trPr>
          <w:cnfStyle w:val="100000000000" w:firstRow="1" w:lastRow="0" w:firstColumn="0" w:lastColumn="0" w:oddVBand="0" w:evenVBand="0" w:oddHBand="0" w:evenHBand="0" w:firstRowFirstColumn="0" w:firstRowLastColumn="0" w:lastRowFirstColumn="0" w:lastRowLastColumn="0"/>
          <w:trHeight w:val="206"/>
        </w:trPr>
        <w:tc>
          <w:tcPr>
            <w:tcW w:w="9067" w:type="dxa"/>
            <w:gridSpan w:val="3"/>
          </w:tcPr>
          <w:p w14:paraId="0D7FFBF4" w14:textId="77777777" w:rsidR="004656D4" w:rsidRPr="00704B8D" w:rsidRDefault="004656D4" w:rsidP="00704B8D">
            <w:pPr>
              <w:pStyle w:val="BodyText"/>
              <w:rPr>
                <w:b w:val="0"/>
                <w:bCs/>
                <w:highlight w:val="magenta"/>
              </w:rPr>
            </w:pPr>
            <w:r w:rsidRPr="00704B8D">
              <w:rPr>
                <w:b w:val="0"/>
                <w:bCs/>
                <w:highlight w:val="magenta"/>
              </w:rPr>
              <w:t>PERIOD OF EXTENDED HIRE</w:t>
            </w:r>
          </w:p>
        </w:tc>
      </w:tr>
      <w:tr w:rsidR="004656D4" w:rsidRPr="00CD127A" w14:paraId="2C46E86F" w14:textId="77777777" w:rsidTr="00EB5DBF">
        <w:trPr>
          <w:trHeight w:val="383"/>
        </w:trPr>
        <w:tc>
          <w:tcPr>
            <w:tcW w:w="5240" w:type="dxa"/>
          </w:tcPr>
          <w:p w14:paraId="25C903DC" w14:textId="77777777" w:rsidR="004656D4" w:rsidRPr="00CD127A" w:rsidRDefault="004656D4" w:rsidP="00704B8D">
            <w:pPr>
              <w:pStyle w:val="BodyText"/>
              <w:rPr>
                <w:b/>
                <w:highlight w:val="magenta"/>
              </w:rPr>
            </w:pPr>
            <w:r w:rsidRPr="00CD127A">
              <w:rPr>
                <w:b/>
                <w:highlight w:val="magenta"/>
              </w:rPr>
              <w:t xml:space="preserve">Number of weeks the </w:t>
            </w:r>
            <w:r>
              <w:rPr>
                <w:b/>
                <w:highlight w:val="magenta"/>
              </w:rPr>
              <w:t>Temporary Resource</w:t>
            </w:r>
            <w:r w:rsidRPr="00CD127A">
              <w:rPr>
                <w:b/>
                <w:highlight w:val="magenta"/>
              </w:rPr>
              <w:t xml:space="preserve"> has been supplied to the Client prior to the start of the Period of Extended Hire</w:t>
            </w:r>
          </w:p>
        </w:tc>
        <w:tc>
          <w:tcPr>
            <w:tcW w:w="1913" w:type="dxa"/>
            <w:vAlign w:val="center"/>
          </w:tcPr>
          <w:p w14:paraId="2BA5C9D2" w14:textId="77777777" w:rsidR="004656D4" w:rsidRPr="00CD127A" w:rsidRDefault="004656D4" w:rsidP="00704B8D">
            <w:pPr>
              <w:pStyle w:val="BodyText"/>
              <w:jc w:val="center"/>
              <w:rPr>
                <w:highlight w:val="magenta"/>
              </w:rPr>
            </w:pPr>
            <w:r w:rsidRPr="00CD127A">
              <w:rPr>
                <w:highlight w:val="magenta"/>
              </w:rPr>
              <w:t>0 to 12 weeks</w:t>
            </w:r>
          </w:p>
        </w:tc>
        <w:tc>
          <w:tcPr>
            <w:tcW w:w="1914" w:type="dxa"/>
            <w:vAlign w:val="center"/>
          </w:tcPr>
          <w:p w14:paraId="123C3EEE" w14:textId="6E6605C8" w:rsidR="004656D4" w:rsidRPr="00CD127A" w:rsidRDefault="004656D4" w:rsidP="00704B8D">
            <w:pPr>
              <w:pStyle w:val="BodyText"/>
              <w:jc w:val="center"/>
              <w:rPr>
                <w:highlight w:val="magenta"/>
              </w:rPr>
            </w:pPr>
            <w:r w:rsidRPr="00CD127A">
              <w:rPr>
                <w:highlight w:val="magenta"/>
              </w:rPr>
              <w:t>13 weeks or more</w:t>
            </w:r>
          </w:p>
        </w:tc>
      </w:tr>
      <w:tr w:rsidR="004656D4" w:rsidRPr="00CD127A" w14:paraId="4F9C6FC6" w14:textId="77777777" w:rsidTr="00EB5DBF">
        <w:trPr>
          <w:trHeight w:val="384"/>
        </w:trPr>
        <w:tc>
          <w:tcPr>
            <w:tcW w:w="5240" w:type="dxa"/>
          </w:tcPr>
          <w:p w14:paraId="374FB81A" w14:textId="77777777" w:rsidR="004656D4" w:rsidRPr="00CD127A" w:rsidRDefault="004656D4" w:rsidP="00704B8D">
            <w:pPr>
              <w:pStyle w:val="BodyText"/>
              <w:rPr>
                <w:b/>
                <w:highlight w:val="magenta"/>
              </w:rPr>
            </w:pPr>
            <w:r w:rsidRPr="00CD127A">
              <w:rPr>
                <w:b/>
                <w:highlight w:val="magenta"/>
              </w:rPr>
              <w:t>Period of Extended Hire (in weeks)</w:t>
            </w:r>
          </w:p>
        </w:tc>
        <w:tc>
          <w:tcPr>
            <w:tcW w:w="1913" w:type="dxa"/>
            <w:vAlign w:val="center"/>
          </w:tcPr>
          <w:p w14:paraId="085685C1" w14:textId="2589FD65" w:rsidR="004656D4" w:rsidRPr="00CD127A" w:rsidRDefault="004656D4" w:rsidP="00466122">
            <w:pPr>
              <w:pStyle w:val="BodyText"/>
              <w:jc w:val="center"/>
              <w:rPr>
                <w:highlight w:val="magenta"/>
              </w:rPr>
            </w:pPr>
            <w:r w:rsidRPr="00CD127A">
              <w:rPr>
                <w:highlight w:val="magenta"/>
              </w:rPr>
              <w:t>20 weeks</w:t>
            </w:r>
          </w:p>
        </w:tc>
        <w:tc>
          <w:tcPr>
            <w:tcW w:w="1914" w:type="dxa"/>
            <w:vAlign w:val="center"/>
          </w:tcPr>
          <w:p w14:paraId="7A55FB73" w14:textId="119C1A54" w:rsidR="004656D4" w:rsidRPr="00CD127A" w:rsidRDefault="004656D4" w:rsidP="00704B8D">
            <w:pPr>
              <w:pStyle w:val="BodyText"/>
              <w:jc w:val="center"/>
              <w:rPr>
                <w:highlight w:val="magenta"/>
              </w:rPr>
            </w:pPr>
            <w:r w:rsidRPr="00CD127A">
              <w:rPr>
                <w:highlight w:val="magenta"/>
              </w:rPr>
              <w:t>0</w:t>
            </w:r>
          </w:p>
        </w:tc>
      </w:tr>
    </w:tbl>
    <w:p w14:paraId="586E070E" w14:textId="55DAFEBA" w:rsidR="000C0E31" w:rsidRPr="000C0E31" w:rsidRDefault="000C0E31" w:rsidP="000C0E31">
      <w:pPr>
        <w:pStyle w:val="Heading2"/>
        <w:numPr>
          <w:ilvl w:val="0"/>
          <w:numId w:val="0"/>
        </w:numPr>
        <w:ind w:left="576" w:hanging="576"/>
        <w:rPr>
          <w:b/>
          <w:color w:val="auto"/>
        </w:rPr>
      </w:pPr>
      <w:r w:rsidRPr="000C0E31">
        <w:rPr>
          <w:b/>
          <w:color w:val="auto"/>
        </w:rPr>
        <w:t xml:space="preserve">Where the Conduct Regulations </w:t>
      </w:r>
      <w:r>
        <w:rPr>
          <w:b/>
          <w:color w:val="auto"/>
        </w:rPr>
        <w:t xml:space="preserve">do not </w:t>
      </w:r>
      <w:r w:rsidRPr="000C0E31">
        <w:rPr>
          <w:b/>
          <w:color w:val="auto"/>
        </w:rPr>
        <w:t xml:space="preserve">apply: </w:t>
      </w:r>
    </w:p>
    <w:p w14:paraId="65B0D894" w14:textId="67FF722E" w:rsidR="00DA6617" w:rsidRPr="0087335B" w:rsidRDefault="00DA6617" w:rsidP="00DA6617">
      <w:pPr>
        <w:spacing w:after="0" w:line="240" w:lineRule="auto"/>
        <w:ind w:right="284"/>
        <w:rPr>
          <w:rFonts w:ascii="Lato" w:hAnsi="Lato"/>
          <w:sz w:val="20"/>
          <w:szCs w:val="20"/>
        </w:rPr>
      </w:pPr>
      <w:r w:rsidRPr="0087335B">
        <w:rPr>
          <w:rFonts w:ascii="Lato" w:hAnsi="Lato"/>
          <w:sz w:val="20"/>
          <w:szCs w:val="20"/>
        </w:rPr>
        <w:t xml:space="preserve">Where the Conduct Regulations </w:t>
      </w:r>
      <w:r w:rsidRPr="0087335B">
        <w:rPr>
          <w:rFonts w:ascii="Lato" w:hAnsi="Lato"/>
          <w:b/>
          <w:sz w:val="20"/>
          <w:szCs w:val="20"/>
          <w:u w:val="single"/>
        </w:rPr>
        <w:t>do not</w:t>
      </w:r>
      <w:r w:rsidRPr="0087335B">
        <w:rPr>
          <w:rFonts w:ascii="Lato" w:hAnsi="Lato"/>
          <w:sz w:val="20"/>
          <w:szCs w:val="20"/>
        </w:rPr>
        <w:t xml:space="preserve"> apply the Transfer Fee will be calculated </w:t>
      </w:r>
      <w:r w:rsidRPr="0087335B">
        <w:rPr>
          <w:rFonts w:ascii="Lato" w:hAnsi="Lato"/>
          <w:sz w:val="20"/>
          <w:szCs w:val="20"/>
          <w:highlight w:val="lightGray"/>
        </w:rPr>
        <w:t>[</w:t>
      </w:r>
      <w:r w:rsidRPr="0087335B">
        <w:rPr>
          <w:rFonts w:ascii="Lato" w:hAnsi="Lato"/>
          <w:b/>
          <w:sz w:val="20"/>
          <w:szCs w:val="20"/>
          <w:highlight w:val="lightGray"/>
        </w:rPr>
        <w:t xml:space="preserve">choose either Option </w:t>
      </w:r>
      <w:r w:rsidRPr="00BD17B1">
        <w:rPr>
          <w:rFonts w:ascii="Lato" w:hAnsi="Lato"/>
          <w:b/>
          <w:sz w:val="20"/>
          <w:szCs w:val="20"/>
          <w:highlight w:val="yellow"/>
        </w:rPr>
        <w:t>A</w:t>
      </w:r>
      <w:r w:rsidRPr="0087335B">
        <w:rPr>
          <w:rFonts w:ascii="Lato" w:hAnsi="Lato"/>
          <w:b/>
          <w:sz w:val="20"/>
          <w:szCs w:val="20"/>
          <w:highlight w:val="lightGray"/>
        </w:rPr>
        <w:t xml:space="preserve"> or </w:t>
      </w:r>
      <w:r w:rsidRPr="00BD17B1">
        <w:rPr>
          <w:rFonts w:ascii="Lato" w:hAnsi="Lato"/>
          <w:b/>
          <w:sz w:val="20"/>
          <w:szCs w:val="20"/>
          <w:highlight w:val="green"/>
        </w:rPr>
        <w:t>B</w:t>
      </w:r>
      <w:r w:rsidRPr="0087335B">
        <w:rPr>
          <w:rFonts w:ascii="Lato" w:hAnsi="Lato"/>
          <w:b/>
          <w:sz w:val="20"/>
          <w:szCs w:val="20"/>
          <w:highlight w:val="lightGray"/>
        </w:rPr>
        <w:t xml:space="preserve"> or </w:t>
      </w:r>
      <w:r w:rsidRPr="0087335B">
        <w:rPr>
          <w:rFonts w:ascii="Lato" w:hAnsi="Lato"/>
          <w:b/>
          <w:sz w:val="20"/>
          <w:szCs w:val="20"/>
          <w:highlight w:val="magenta"/>
        </w:rPr>
        <w:t>C</w:t>
      </w:r>
      <w:r w:rsidRPr="0087335B">
        <w:rPr>
          <w:rFonts w:ascii="Lato" w:hAnsi="Lato"/>
          <w:b/>
          <w:sz w:val="20"/>
          <w:szCs w:val="20"/>
          <w:highlight w:val="lightGray"/>
        </w:rPr>
        <w:t xml:space="preserve"> and delete the Option not used</w:t>
      </w:r>
      <w:r w:rsidRPr="0087335B">
        <w:rPr>
          <w:rFonts w:ascii="Lato" w:hAnsi="Lato"/>
          <w:sz w:val="20"/>
          <w:szCs w:val="20"/>
          <w:highlight w:val="lightGray"/>
        </w:rPr>
        <w:t>]</w:t>
      </w:r>
      <w:r w:rsidRPr="00BD17B1">
        <w:rPr>
          <w:rFonts w:ascii="Lato" w:hAnsi="Lato"/>
          <w:sz w:val="20"/>
          <w:szCs w:val="20"/>
          <w:highlight w:val="yellow"/>
        </w:rPr>
        <w:t>A: in accordance with the scale of fees for permanent introductions set out in Schedule 2.</w:t>
      </w:r>
      <w:r w:rsidRPr="0087335B">
        <w:rPr>
          <w:rFonts w:ascii="Lato" w:hAnsi="Lato"/>
          <w:sz w:val="20"/>
          <w:szCs w:val="20"/>
        </w:rPr>
        <w:t xml:space="preserve"> </w:t>
      </w:r>
      <w:r w:rsidRPr="00BD17B1">
        <w:rPr>
          <w:rFonts w:ascii="Lato" w:hAnsi="Lato"/>
          <w:sz w:val="20"/>
          <w:szCs w:val="20"/>
          <w:highlight w:val="green"/>
        </w:rPr>
        <w:t xml:space="preserve">B: at </w:t>
      </w:r>
      <w:r w:rsidRPr="0087335B">
        <w:rPr>
          <w:rFonts w:ascii="Lato" w:hAnsi="Lato"/>
          <w:sz w:val="20"/>
          <w:szCs w:val="20"/>
          <w:highlight w:val="lightGray"/>
        </w:rPr>
        <w:t>[</w:t>
      </w:r>
      <w:r w:rsidRPr="0087335B">
        <w:rPr>
          <w:rFonts w:ascii="Lato" w:hAnsi="Lato"/>
          <w:i/>
          <w:sz w:val="20"/>
          <w:szCs w:val="20"/>
          <w:highlight w:val="lightGray"/>
        </w:rPr>
        <w:t>specify</w:t>
      </w:r>
      <w:r w:rsidRPr="00BD17B1">
        <w:rPr>
          <w:rFonts w:ascii="Lato" w:hAnsi="Lato"/>
          <w:sz w:val="20"/>
          <w:szCs w:val="20"/>
          <w:highlight w:val="green"/>
        </w:rPr>
        <w:t xml:space="preserve">]% of the PSC Fees payable to the PSC. </w:t>
      </w:r>
      <w:r w:rsidRPr="00BD17B1">
        <w:rPr>
          <w:rFonts w:ascii="Lato" w:hAnsi="Lato"/>
          <w:sz w:val="20"/>
          <w:szCs w:val="20"/>
          <w:highlight w:val="green"/>
        </w:rPr>
        <w:lastRenderedPageBreak/>
        <w:t>Where the amount of the PSC Fees payable to the PSC is not known, the Transfer Fee will be calculated by multiplying the Charges by</w:t>
      </w:r>
      <w:r w:rsidRPr="0087335B">
        <w:rPr>
          <w:rFonts w:ascii="Lato" w:hAnsi="Lato"/>
          <w:sz w:val="20"/>
          <w:szCs w:val="20"/>
        </w:rPr>
        <w:t xml:space="preserve"> </w:t>
      </w:r>
      <w:r w:rsidRPr="0087335B">
        <w:rPr>
          <w:rFonts w:ascii="Lato" w:hAnsi="Lato"/>
          <w:sz w:val="20"/>
          <w:szCs w:val="20"/>
          <w:highlight w:val="lightGray"/>
        </w:rPr>
        <w:t>[</w:t>
      </w:r>
      <w:r w:rsidR="00D90322" w:rsidRPr="00D90322">
        <w:rPr>
          <w:rFonts w:ascii="Lato" w:hAnsi="Lato"/>
          <w:i/>
          <w:iCs/>
          <w:sz w:val="20"/>
          <w:szCs w:val="20"/>
          <w:highlight w:val="lightGray"/>
        </w:rPr>
        <w:t>See Note 60</w:t>
      </w:r>
      <w:r w:rsidRPr="0087335B">
        <w:rPr>
          <w:rFonts w:ascii="Lato" w:hAnsi="Lato"/>
          <w:sz w:val="20"/>
          <w:szCs w:val="20"/>
          <w:highlight w:val="lightGray"/>
        </w:rPr>
        <w:t>]</w:t>
      </w:r>
      <w:r w:rsidRPr="0087335B">
        <w:rPr>
          <w:rFonts w:ascii="Lato" w:hAnsi="Lato"/>
          <w:sz w:val="20"/>
          <w:szCs w:val="20"/>
        </w:rPr>
        <w:t>.</w:t>
      </w:r>
      <w:r w:rsidRPr="0087335B">
        <w:rPr>
          <w:rFonts w:ascii="Lato" w:hAnsi="Lato"/>
          <w:sz w:val="20"/>
          <w:szCs w:val="20"/>
          <w:highlight w:val="magenta"/>
        </w:rPr>
        <w:t xml:space="preserve">C: at </w:t>
      </w:r>
      <w:r w:rsidRPr="0087335B">
        <w:rPr>
          <w:rFonts w:ascii="Lato" w:hAnsi="Lato"/>
          <w:sz w:val="20"/>
          <w:szCs w:val="20"/>
          <w:highlight w:val="lightGray"/>
        </w:rPr>
        <w:t>[</w:t>
      </w:r>
      <w:r w:rsidRPr="0087335B">
        <w:rPr>
          <w:rFonts w:ascii="Lato" w:hAnsi="Lato"/>
          <w:i/>
          <w:sz w:val="20"/>
          <w:szCs w:val="20"/>
          <w:highlight w:val="lightGray"/>
        </w:rPr>
        <w:t>specify</w:t>
      </w:r>
      <w:r w:rsidRPr="0087335B">
        <w:rPr>
          <w:rFonts w:ascii="Lato" w:hAnsi="Lato"/>
          <w:sz w:val="20"/>
          <w:szCs w:val="20"/>
          <w:highlight w:val="lightGray"/>
        </w:rPr>
        <w:t>]</w:t>
      </w:r>
      <w:r w:rsidRPr="0087335B">
        <w:rPr>
          <w:rFonts w:ascii="Lato" w:hAnsi="Lato"/>
          <w:sz w:val="20"/>
          <w:szCs w:val="20"/>
          <w:highlight w:val="magenta"/>
        </w:rPr>
        <w:t>% of the Remuneration payable to the PSC. Where the amount of the Remuneration payable to the PSC is not known, the Transfer Fee will be calculated by multiplying the Charges by</w:t>
      </w:r>
      <w:r w:rsidR="00D90322">
        <w:rPr>
          <w:rFonts w:ascii="Lato" w:hAnsi="Lato"/>
          <w:sz w:val="20"/>
          <w:szCs w:val="20"/>
        </w:rPr>
        <w:t xml:space="preserve"> </w:t>
      </w:r>
      <w:r w:rsidR="00D90322" w:rsidRPr="0087335B">
        <w:rPr>
          <w:rFonts w:ascii="Lato" w:hAnsi="Lato"/>
          <w:sz w:val="20"/>
          <w:szCs w:val="20"/>
          <w:highlight w:val="lightGray"/>
        </w:rPr>
        <w:t>[</w:t>
      </w:r>
      <w:r w:rsidR="00D90322" w:rsidRPr="00D90322">
        <w:rPr>
          <w:rFonts w:ascii="Lato" w:hAnsi="Lato"/>
          <w:i/>
          <w:iCs/>
          <w:sz w:val="20"/>
          <w:szCs w:val="20"/>
          <w:highlight w:val="lightGray"/>
        </w:rPr>
        <w:t>See Note 60</w:t>
      </w:r>
      <w:r w:rsidR="00D90322" w:rsidRPr="0087335B">
        <w:rPr>
          <w:rFonts w:ascii="Lato" w:hAnsi="Lato"/>
          <w:sz w:val="20"/>
          <w:szCs w:val="20"/>
          <w:highlight w:val="lightGray"/>
        </w:rPr>
        <w:t>]</w:t>
      </w:r>
      <w:r w:rsidR="00D90322" w:rsidRPr="0087335B">
        <w:rPr>
          <w:rFonts w:ascii="Lato" w:hAnsi="Lato"/>
          <w:sz w:val="20"/>
          <w:szCs w:val="20"/>
        </w:rPr>
        <w:t>.</w:t>
      </w:r>
    </w:p>
    <w:p w14:paraId="03897055" w14:textId="48136F60" w:rsidR="000C0E31" w:rsidRDefault="004F53F0" w:rsidP="00781BE5">
      <w:pPr>
        <w:pStyle w:val="Heading1"/>
        <w:numPr>
          <w:ilvl w:val="0"/>
          <w:numId w:val="0"/>
        </w:numPr>
        <w:ind w:left="432" w:hanging="432"/>
        <w:rPr>
          <w:sz w:val="20"/>
          <w:szCs w:val="20"/>
          <w:highlight w:val="lightGray"/>
        </w:rPr>
      </w:pPr>
      <w:r>
        <w:rPr>
          <w:sz w:val="20"/>
          <w:szCs w:val="20"/>
          <w:highlight w:val="lightGray"/>
        </w:rPr>
        <w:t>[I</w:t>
      </w:r>
      <w:r w:rsidR="000C0E31" w:rsidRPr="000C0E31">
        <w:rPr>
          <w:sz w:val="20"/>
          <w:szCs w:val="20"/>
          <w:highlight w:val="lightGray"/>
        </w:rPr>
        <w:t>nsert your own transfer fee charges</w:t>
      </w:r>
      <w:r w:rsidR="00D752F4">
        <w:rPr>
          <w:sz w:val="20"/>
          <w:szCs w:val="20"/>
          <w:highlight w:val="lightGray"/>
        </w:rPr>
        <w:t xml:space="preserve"> e.g.</w:t>
      </w:r>
      <w:r>
        <w:rPr>
          <w:sz w:val="20"/>
          <w:szCs w:val="20"/>
          <w:highlight w:val="lightGray"/>
        </w:rPr>
        <w:t>]</w:t>
      </w:r>
    </w:p>
    <w:p w14:paraId="3F107DD4" w14:textId="77777777" w:rsidR="00D752F4" w:rsidRPr="00DB7821" w:rsidRDefault="00D752F4" w:rsidP="00D752F4">
      <w:pPr>
        <w:ind w:right="284"/>
      </w:pPr>
    </w:p>
    <w:p w14:paraId="76B7F545" w14:textId="77777777" w:rsidR="00D752F4" w:rsidRPr="00DB7821" w:rsidRDefault="00D752F4" w:rsidP="00D752F4">
      <w:pPr>
        <w:ind w:right="284"/>
      </w:pPr>
    </w:p>
    <w:tbl>
      <w:tblPr>
        <w:tblW w:w="6675" w:type="dxa"/>
        <w:tblInd w:w="118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35"/>
        <w:gridCol w:w="2640"/>
      </w:tblGrid>
      <w:tr w:rsidR="00D752F4" w:rsidRPr="00DB7821" w14:paraId="29DBB204" w14:textId="77777777" w:rsidTr="00A77A38">
        <w:trPr>
          <w:trHeight w:val="254"/>
        </w:trPr>
        <w:tc>
          <w:tcPr>
            <w:tcW w:w="4035" w:type="dxa"/>
            <w:shd w:val="clear" w:color="auto" w:fill="auto"/>
          </w:tcPr>
          <w:p w14:paraId="0A494E4F" w14:textId="77777777" w:rsidR="00D752F4" w:rsidRPr="00DB7821" w:rsidRDefault="00D752F4" w:rsidP="00A77A38">
            <w:pPr>
              <w:pStyle w:val="BodyTextIndent"/>
              <w:tabs>
                <w:tab w:val="left" w:pos="1123"/>
              </w:tabs>
              <w:ind w:left="1117" w:right="284" w:hanging="760"/>
              <w:rPr>
                <w:rFonts w:asciiTheme="minorHAnsi" w:hAnsiTheme="minorHAnsi"/>
                <w:b/>
                <w:sz w:val="22"/>
                <w:szCs w:val="22"/>
              </w:rPr>
            </w:pPr>
          </w:p>
          <w:p w14:paraId="394DD217" w14:textId="77777777" w:rsidR="00D752F4" w:rsidRPr="00DB7821" w:rsidRDefault="00D752F4" w:rsidP="00A77A38">
            <w:pPr>
              <w:pStyle w:val="BodyTextIndent"/>
              <w:tabs>
                <w:tab w:val="left" w:pos="1123"/>
              </w:tabs>
              <w:ind w:left="1117" w:right="284" w:hanging="760"/>
              <w:rPr>
                <w:rFonts w:asciiTheme="minorHAnsi" w:hAnsiTheme="minorHAnsi"/>
                <w:b/>
                <w:sz w:val="22"/>
                <w:szCs w:val="22"/>
              </w:rPr>
            </w:pPr>
            <w:r w:rsidRPr="00DB7821">
              <w:rPr>
                <w:rFonts w:asciiTheme="minorHAnsi" w:hAnsiTheme="minorHAnsi"/>
                <w:b/>
                <w:sz w:val="22"/>
                <w:szCs w:val="22"/>
              </w:rPr>
              <w:t xml:space="preserve">Remuneration </w:t>
            </w:r>
          </w:p>
        </w:tc>
        <w:tc>
          <w:tcPr>
            <w:tcW w:w="2640" w:type="dxa"/>
            <w:shd w:val="clear" w:color="auto" w:fill="auto"/>
          </w:tcPr>
          <w:p w14:paraId="79818854" w14:textId="77777777" w:rsidR="00D752F4" w:rsidRPr="00DB7821" w:rsidRDefault="00D752F4" w:rsidP="00A77A38">
            <w:pPr>
              <w:pStyle w:val="BodyTextIndent"/>
              <w:tabs>
                <w:tab w:val="left" w:pos="1123"/>
              </w:tabs>
              <w:ind w:left="1117" w:right="284" w:hanging="760"/>
              <w:rPr>
                <w:rFonts w:asciiTheme="minorHAnsi" w:hAnsiTheme="minorHAnsi"/>
                <w:b/>
                <w:sz w:val="22"/>
                <w:szCs w:val="22"/>
              </w:rPr>
            </w:pPr>
          </w:p>
          <w:p w14:paraId="795805C2" w14:textId="2A19E0A2" w:rsidR="00D752F4" w:rsidRPr="00DB7821" w:rsidRDefault="00D752F4" w:rsidP="00A77A38">
            <w:pPr>
              <w:pStyle w:val="BodyTextIndent"/>
              <w:tabs>
                <w:tab w:val="left" w:pos="1123"/>
              </w:tabs>
              <w:ind w:left="1117" w:right="284" w:hanging="760"/>
              <w:rPr>
                <w:rFonts w:asciiTheme="minorHAnsi" w:hAnsiTheme="minorHAnsi"/>
                <w:b/>
                <w:sz w:val="22"/>
                <w:szCs w:val="22"/>
              </w:rPr>
            </w:pPr>
            <w:r>
              <w:rPr>
                <w:rFonts w:asciiTheme="minorHAnsi" w:hAnsiTheme="minorHAnsi"/>
                <w:b/>
                <w:sz w:val="22"/>
                <w:szCs w:val="22"/>
              </w:rPr>
              <w:t xml:space="preserve">Transfer </w:t>
            </w:r>
            <w:r w:rsidRPr="00DB7821">
              <w:rPr>
                <w:rFonts w:asciiTheme="minorHAnsi" w:hAnsiTheme="minorHAnsi"/>
                <w:b/>
                <w:sz w:val="22"/>
                <w:szCs w:val="22"/>
              </w:rPr>
              <w:t>Fee</w:t>
            </w:r>
          </w:p>
          <w:p w14:paraId="40E1DE6F" w14:textId="77777777" w:rsidR="00D752F4" w:rsidRPr="00DB7821" w:rsidRDefault="00D752F4" w:rsidP="00A77A38">
            <w:pPr>
              <w:pStyle w:val="BodyTextIndent"/>
              <w:tabs>
                <w:tab w:val="left" w:pos="1123"/>
              </w:tabs>
              <w:ind w:left="1117" w:right="284" w:hanging="760"/>
              <w:rPr>
                <w:rFonts w:asciiTheme="minorHAnsi" w:hAnsiTheme="minorHAnsi"/>
                <w:b/>
                <w:sz w:val="22"/>
                <w:szCs w:val="22"/>
              </w:rPr>
            </w:pPr>
            <w:r w:rsidRPr="00DB7821">
              <w:rPr>
                <w:rFonts w:asciiTheme="minorHAnsi" w:hAnsiTheme="minorHAnsi"/>
                <w:b/>
                <w:sz w:val="22"/>
                <w:szCs w:val="22"/>
              </w:rPr>
              <w:t>£ or %</w:t>
            </w:r>
          </w:p>
          <w:p w14:paraId="341F2503" w14:textId="77777777" w:rsidR="00D752F4" w:rsidRPr="00DB7821" w:rsidRDefault="00D752F4" w:rsidP="00A77A38">
            <w:pPr>
              <w:pStyle w:val="BodyTextIndent"/>
              <w:tabs>
                <w:tab w:val="left" w:pos="1123"/>
              </w:tabs>
              <w:ind w:left="1117" w:right="284" w:hanging="760"/>
              <w:rPr>
                <w:rFonts w:asciiTheme="minorHAnsi" w:hAnsiTheme="minorHAnsi"/>
                <w:b/>
                <w:sz w:val="22"/>
                <w:szCs w:val="22"/>
              </w:rPr>
            </w:pPr>
          </w:p>
        </w:tc>
      </w:tr>
      <w:tr w:rsidR="00D752F4" w:rsidRPr="00DB7821" w14:paraId="7A9E1128" w14:textId="77777777" w:rsidTr="00A77A38">
        <w:trPr>
          <w:trHeight w:val="254"/>
        </w:trPr>
        <w:tc>
          <w:tcPr>
            <w:tcW w:w="4035" w:type="dxa"/>
            <w:shd w:val="clear" w:color="auto" w:fill="auto"/>
          </w:tcPr>
          <w:p w14:paraId="6C4919B1" w14:textId="77777777" w:rsidR="00D752F4" w:rsidRPr="00DB7821" w:rsidRDefault="00D752F4" w:rsidP="00A77A38">
            <w:pPr>
              <w:tabs>
                <w:tab w:val="left" w:pos="1123"/>
              </w:tabs>
              <w:ind w:left="1117" w:right="284" w:hanging="760"/>
              <w:rPr>
                <w:highlight w:val="lightGray"/>
              </w:rPr>
            </w:pPr>
            <w:r w:rsidRPr="00DB7821">
              <w:rPr>
                <w:highlight w:val="lightGray"/>
              </w:rPr>
              <w:t>£0-£20,000</w:t>
            </w:r>
          </w:p>
        </w:tc>
        <w:tc>
          <w:tcPr>
            <w:tcW w:w="2640" w:type="dxa"/>
            <w:shd w:val="clear" w:color="auto" w:fill="auto"/>
          </w:tcPr>
          <w:p w14:paraId="4B6B9E20" w14:textId="77777777" w:rsidR="00D752F4" w:rsidRPr="00DB7821" w:rsidRDefault="00D752F4" w:rsidP="00A77A38">
            <w:pPr>
              <w:pStyle w:val="BodyTextIndent"/>
              <w:tabs>
                <w:tab w:val="left" w:pos="1123"/>
              </w:tabs>
              <w:ind w:left="1117" w:right="284" w:hanging="760"/>
              <w:rPr>
                <w:rFonts w:asciiTheme="minorHAnsi" w:hAnsiTheme="minorHAnsi"/>
                <w:sz w:val="22"/>
                <w:szCs w:val="22"/>
                <w:highlight w:val="lightGray"/>
              </w:rPr>
            </w:pPr>
            <w:r w:rsidRPr="00DB7821">
              <w:rPr>
                <w:rFonts w:asciiTheme="minorHAnsi" w:hAnsiTheme="minorHAnsi"/>
                <w:sz w:val="22"/>
                <w:szCs w:val="22"/>
                <w:highlight w:val="lightGray"/>
              </w:rPr>
              <w:t>X</w:t>
            </w:r>
          </w:p>
        </w:tc>
      </w:tr>
      <w:tr w:rsidR="00D752F4" w:rsidRPr="00DB7821" w14:paraId="35FAFC14" w14:textId="77777777" w:rsidTr="00A77A38">
        <w:trPr>
          <w:trHeight w:val="254"/>
        </w:trPr>
        <w:tc>
          <w:tcPr>
            <w:tcW w:w="4035" w:type="dxa"/>
            <w:shd w:val="clear" w:color="auto" w:fill="auto"/>
          </w:tcPr>
          <w:p w14:paraId="1D051C13" w14:textId="77777777" w:rsidR="00D752F4" w:rsidRPr="00DB7821" w:rsidRDefault="00D752F4" w:rsidP="00A77A38">
            <w:pPr>
              <w:tabs>
                <w:tab w:val="left" w:pos="1123"/>
              </w:tabs>
              <w:ind w:left="1117" w:right="284" w:hanging="760"/>
              <w:rPr>
                <w:highlight w:val="lightGray"/>
              </w:rPr>
            </w:pPr>
            <w:r w:rsidRPr="00DB7821">
              <w:rPr>
                <w:highlight w:val="lightGray"/>
              </w:rPr>
              <w:t>£20,001-£30,000</w:t>
            </w:r>
          </w:p>
        </w:tc>
        <w:tc>
          <w:tcPr>
            <w:tcW w:w="2640" w:type="dxa"/>
            <w:shd w:val="clear" w:color="auto" w:fill="auto"/>
          </w:tcPr>
          <w:p w14:paraId="6812D825" w14:textId="77777777" w:rsidR="00D752F4" w:rsidRPr="00DB7821" w:rsidRDefault="00D752F4" w:rsidP="00A77A38">
            <w:pPr>
              <w:pStyle w:val="BodyTextIndent"/>
              <w:tabs>
                <w:tab w:val="left" w:pos="1123"/>
              </w:tabs>
              <w:ind w:left="1117" w:right="284" w:hanging="760"/>
              <w:rPr>
                <w:rFonts w:asciiTheme="minorHAnsi" w:hAnsiTheme="minorHAnsi"/>
                <w:sz w:val="22"/>
                <w:szCs w:val="22"/>
                <w:highlight w:val="lightGray"/>
              </w:rPr>
            </w:pPr>
            <w:r w:rsidRPr="00DB7821">
              <w:rPr>
                <w:rFonts w:asciiTheme="minorHAnsi" w:hAnsiTheme="minorHAnsi"/>
                <w:sz w:val="22"/>
                <w:szCs w:val="22"/>
                <w:highlight w:val="lightGray"/>
              </w:rPr>
              <w:t>X</w:t>
            </w:r>
          </w:p>
        </w:tc>
      </w:tr>
      <w:tr w:rsidR="00D752F4" w:rsidRPr="00DB7821" w14:paraId="6ED09157" w14:textId="77777777" w:rsidTr="00A77A38">
        <w:trPr>
          <w:trHeight w:val="254"/>
        </w:trPr>
        <w:tc>
          <w:tcPr>
            <w:tcW w:w="4035" w:type="dxa"/>
            <w:shd w:val="clear" w:color="auto" w:fill="auto"/>
          </w:tcPr>
          <w:p w14:paraId="78A54FAC" w14:textId="77777777" w:rsidR="00D752F4" w:rsidRPr="00DB7821" w:rsidRDefault="00D752F4" w:rsidP="00A77A38">
            <w:pPr>
              <w:tabs>
                <w:tab w:val="left" w:pos="1123"/>
              </w:tabs>
              <w:ind w:left="1117" w:right="284" w:hanging="760"/>
              <w:rPr>
                <w:highlight w:val="lightGray"/>
              </w:rPr>
            </w:pPr>
            <w:r w:rsidRPr="00DB7821">
              <w:rPr>
                <w:highlight w:val="lightGray"/>
              </w:rPr>
              <w:t>£30,001-£40,000</w:t>
            </w:r>
          </w:p>
        </w:tc>
        <w:tc>
          <w:tcPr>
            <w:tcW w:w="2640" w:type="dxa"/>
            <w:shd w:val="clear" w:color="auto" w:fill="auto"/>
          </w:tcPr>
          <w:p w14:paraId="78EE7377" w14:textId="77777777" w:rsidR="00D752F4" w:rsidRPr="00DB7821" w:rsidRDefault="00D752F4" w:rsidP="00A77A38">
            <w:pPr>
              <w:pStyle w:val="BodyTextIndent"/>
              <w:tabs>
                <w:tab w:val="left" w:pos="1123"/>
              </w:tabs>
              <w:ind w:left="1117" w:right="284" w:hanging="760"/>
              <w:rPr>
                <w:rFonts w:asciiTheme="minorHAnsi" w:hAnsiTheme="minorHAnsi"/>
                <w:sz w:val="22"/>
                <w:szCs w:val="22"/>
                <w:highlight w:val="lightGray"/>
              </w:rPr>
            </w:pPr>
            <w:r w:rsidRPr="00DB7821">
              <w:rPr>
                <w:rFonts w:asciiTheme="minorHAnsi" w:hAnsiTheme="minorHAnsi"/>
                <w:sz w:val="22"/>
                <w:szCs w:val="22"/>
                <w:highlight w:val="lightGray"/>
              </w:rPr>
              <w:t>X</w:t>
            </w:r>
          </w:p>
        </w:tc>
      </w:tr>
      <w:tr w:rsidR="00D752F4" w:rsidRPr="00DB7821" w14:paraId="241EED86" w14:textId="77777777" w:rsidTr="00A77A38">
        <w:trPr>
          <w:trHeight w:val="295"/>
        </w:trPr>
        <w:tc>
          <w:tcPr>
            <w:tcW w:w="4035" w:type="dxa"/>
            <w:shd w:val="clear" w:color="auto" w:fill="auto"/>
          </w:tcPr>
          <w:p w14:paraId="5264B336" w14:textId="77777777" w:rsidR="00D752F4" w:rsidRPr="00DB7821" w:rsidRDefault="00D752F4" w:rsidP="00A77A38">
            <w:pPr>
              <w:tabs>
                <w:tab w:val="left" w:pos="1123"/>
              </w:tabs>
              <w:ind w:left="1117" w:right="284" w:hanging="760"/>
              <w:rPr>
                <w:highlight w:val="lightGray"/>
              </w:rPr>
            </w:pPr>
            <w:r w:rsidRPr="00DB7821">
              <w:rPr>
                <w:highlight w:val="lightGray"/>
              </w:rPr>
              <w:t>£40,001-£50,000</w:t>
            </w:r>
          </w:p>
        </w:tc>
        <w:tc>
          <w:tcPr>
            <w:tcW w:w="2640" w:type="dxa"/>
            <w:shd w:val="clear" w:color="auto" w:fill="auto"/>
          </w:tcPr>
          <w:p w14:paraId="7C3BFB26" w14:textId="77777777" w:rsidR="00D752F4" w:rsidRPr="00DB7821" w:rsidRDefault="00D752F4" w:rsidP="00A77A38">
            <w:pPr>
              <w:pStyle w:val="BodyTextIndent"/>
              <w:tabs>
                <w:tab w:val="left" w:pos="1123"/>
              </w:tabs>
              <w:ind w:left="1117" w:right="284" w:hanging="760"/>
              <w:rPr>
                <w:rFonts w:asciiTheme="minorHAnsi" w:hAnsiTheme="minorHAnsi"/>
                <w:sz w:val="22"/>
                <w:szCs w:val="22"/>
                <w:highlight w:val="lightGray"/>
              </w:rPr>
            </w:pPr>
            <w:r w:rsidRPr="00DB7821">
              <w:rPr>
                <w:rFonts w:asciiTheme="minorHAnsi" w:hAnsiTheme="minorHAnsi"/>
                <w:sz w:val="22"/>
                <w:szCs w:val="22"/>
                <w:highlight w:val="lightGray"/>
              </w:rPr>
              <w:t>X</w:t>
            </w:r>
          </w:p>
        </w:tc>
      </w:tr>
      <w:tr w:rsidR="00D752F4" w:rsidRPr="00DB7821" w14:paraId="3A8C5648" w14:textId="77777777" w:rsidTr="00A77A38">
        <w:trPr>
          <w:trHeight w:val="254"/>
        </w:trPr>
        <w:tc>
          <w:tcPr>
            <w:tcW w:w="4035" w:type="dxa"/>
            <w:shd w:val="clear" w:color="auto" w:fill="auto"/>
          </w:tcPr>
          <w:p w14:paraId="518AE5F3" w14:textId="77777777" w:rsidR="00D752F4" w:rsidRPr="00DB7821" w:rsidRDefault="00D752F4" w:rsidP="00A77A38">
            <w:pPr>
              <w:tabs>
                <w:tab w:val="left" w:pos="1123"/>
              </w:tabs>
              <w:ind w:left="1117" w:right="284" w:hanging="760"/>
              <w:rPr>
                <w:highlight w:val="lightGray"/>
              </w:rPr>
            </w:pPr>
            <w:r w:rsidRPr="00DB7821">
              <w:rPr>
                <w:highlight w:val="lightGray"/>
              </w:rPr>
              <w:t>£50,001+</w:t>
            </w:r>
          </w:p>
        </w:tc>
        <w:tc>
          <w:tcPr>
            <w:tcW w:w="2640" w:type="dxa"/>
            <w:shd w:val="clear" w:color="auto" w:fill="auto"/>
          </w:tcPr>
          <w:p w14:paraId="58A484ED" w14:textId="77777777" w:rsidR="00D752F4" w:rsidRPr="00DB7821" w:rsidRDefault="00D752F4" w:rsidP="00A77A38">
            <w:pPr>
              <w:pStyle w:val="BodyTextIndent"/>
              <w:tabs>
                <w:tab w:val="left" w:pos="1123"/>
              </w:tabs>
              <w:ind w:left="1117" w:right="284" w:hanging="760"/>
              <w:rPr>
                <w:rFonts w:asciiTheme="minorHAnsi" w:hAnsiTheme="minorHAnsi"/>
                <w:sz w:val="22"/>
                <w:szCs w:val="22"/>
                <w:highlight w:val="lightGray"/>
              </w:rPr>
            </w:pPr>
            <w:r w:rsidRPr="00DB7821">
              <w:rPr>
                <w:rFonts w:asciiTheme="minorHAnsi" w:hAnsiTheme="minorHAnsi"/>
                <w:sz w:val="22"/>
                <w:szCs w:val="22"/>
                <w:highlight w:val="lightGray"/>
              </w:rPr>
              <w:t>X</w:t>
            </w:r>
          </w:p>
        </w:tc>
      </w:tr>
    </w:tbl>
    <w:p w14:paraId="34D6EE5C" w14:textId="77777777" w:rsidR="00D752F4" w:rsidRPr="00DB7821" w:rsidRDefault="00D752F4" w:rsidP="00D752F4">
      <w:pPr>
        <w:ind w:right="284"/>
        <w:rPr>
          <w:b/>
          <w:color w:val="FF0000"/>
        </w:rPr>
      </w:pPr>
    </w:p>
    <w:p w14:paraId="09FB4470" w14:textId="77777777" w:rsidR="000C0E31" w:rsidRDefault="000C0E31">
      <w:pPr>
        <w:rPr>
          <w:rFonts w:ascii="Lato" w:hAnsi="Lato"/>
          <w:color w:val="0D133D"/>
          <w:sz w:val="32"/>
          <w:szCs w:val="32"/>
          <w:highlight w:val="lightGray"/>
          <w14:ligatures w14:val="standard"/>
        </w:rPr>
      </w:pPr>
      <w:r>
        <w:rPr>
          <w:highlight w:val="lightGray"/>
        </w:rPr>
        <w:br w:type="page"/>
      </w:r>
    </w:p>
    <w:p w14:paraId="7C8C477F" w14:textId="7935D390" w:rsidR="00AC7571" w:rsidRPr="00CD127A" w:rsidRDefault="006778B9" w:rsidP="00AC7571">
      <w:pPr>
        <w:pStyle w:val="Heading1"/>
        <w:numPr>
          <w:ilvl w:val="0"/>
          <w:numId w:val="0"/>
        </w:numPr>
        <w:ind w:left="432" w:hanging="432"/>
      </w:pPr>
      <w:r w:rsidRPr="00FE1620">
        <w:rPr>
          <w:highlight w:val="lightGray"/>
        </w:rPr>
        <w:lastRenderedPageBreak/>
        <w:t xml:space="preserve">[SCHEDULE 3 </w:t>
      </w:r>
      <w:r w:rsidR="00051768" w:rsidRPr="00FE1620">
        <w:rPr>
          <w:bCs/>
        </w:rPr>
        <w:t>–</w:t>
      </w:r>
      <w:r w:rsidRPr="00FE1620">
        <w:rPr>
          <w:highlight w:val="lightGray"/>
        </w:rPr>
        <w:t xml:space="preserve"> Sample assignment details form</w:t>
      </w:r>
      <w:r>
        <w:rPr>
          <w:highlight w:val="lightGray"/>
        </w:rPr>
        <w:t>s</w:t>
      </w:r>
      <w:r w:rsidRPr="00FE1620">
        <w:rPr>
          <w:highlight w:val="lightGray"/>
        </w:rPr>
        <w:t>]</w:t>
      </w:r>
      <w:r w:rsidR="00AC7571" w:rsidRPr="00AC7571">
        <w:rPr>
          <w:highlight w:val="lightGray"/>
        </w:rPr>
        <w:t xml:space="preserve"> </w:t>
      </w:r>
      <w:r w:rsidR="00AC7571" w:rsidRPr="00CD127A">
        <w:rPr>
          <w:highlight w:val="lightGray"/>
        </w:rPr>
        <w:t>[</w:t>
      </w:r>
      <w:r w:rsidR="00AC7571" w:rsidRPr="00CD127A">
        <w:rPr>
          <w:i/>
          <w:highlight w:val="lightGray"/>
        </w:rPr>
        <w:t>see Note</w:t>
      </w:r>
      <w:r w:rsidR="00AC7571">
        <w:rPr>
          <w:i/>
          <w:highlight w:val="lightGray"/>
        </w:rPr>
        <w:t xml:space="preserve"> 61</w:t>
      </w:r>
      <w:r w:rsidR="00AC7571" w:rsidRPr="00CD127A">
        <w:rPr>
          <w:highlight w:val="lightGray"/>
        </w:rPr>
        <w:t>]</w:t>
      </w:r>
    </w:p>
    <w:p w14:paraId="4E540826" w14:textId="155F2BD1" w:rsidR="004656D4" w:rsidRPr="00CD127A" w:rsidRDefault="004656D4" w:rsidP="00FE1620">
      <w:pPr>
        <w:rPr>
          <w:rFonts w:ascii="Lato" w:hAnsi="Lato"/>
        </w:rPr>
      </w:pPr>
    </w:p>
    <w:p w14:paraId="0186E4C3" w14:textId="0ECA8316" w:rsidR="00855F75" w:rsidRPr="00FE1620" w:rsidRDefault="006778B9" w:rsidP="003C2A1D">
      <w:pPr>
        <w:pStyle w:val="BodyText"/>
      </w:pPr>
      <w:r w:rsidRPr="00FE1620">
        <w:t xml:space="preserve">This Schedule is optional.  Include it if you want to show the client the assignment details form(s) you will use.  Otherwise delete this schedule. We have different template assignment details forms </w:t>
      </w:r>
      <w:r w:rsidR="00D752F4">
        <w:t>i</w:t>
      </w:r>
      <w:r w:rsidRPr="00FE1620">
        <w:t xml:space="preserve">n the </w:t>
      </w:r>
      <w:hyperlink r:id="rId22" w:history="1">
        <w:r w:rsidRPr="001C35DF">
          <w:rPr>
            <w:rStyle w:val="Hyperlink"/>
            <w:bCs/>
            <w:color w:val="36BEAE" w:themeColor="text2"/>
          </w:rPr>
          <w:t>REC Template Document Library</w:t>
        </w:r>
      </w:hyperlink>
      <w:r w:rsidRPr="00FE1620">
        <w:t xml:space="preserve">. </w:t>
      </w:r>
    </w:p>
    <w:p w14:paraId="35A3AD2C" w14:textId="41245B01" w:rsidR="00037C84" w:rsidRDefault="00037C84" w:rsidP="00FE1620">
      <w:pPr>
        <w:pStyle w:val="BodyText"/>
      </w:pPr>
    </w:p>
    <w:bookmarkEnd w:id="0"/>
    <w:p w14:paraId="1648643C" w14:textId="72FBCF33" w:rsidR="004656D4" w:rsidRDefault="004656D4" w:rsidP="00FE1620">
      <w:pPr>
        <w:rPr>
          <w:rFonts w:ascii="Lato" w:hAnsi="Lato"/>
          <w:color w:val="5974D4"/>
          <w:sz w:val="32"/>
          <w:szCs w:val="32"/>
        </w:rPr>
      </w:pPr>
    </w:p>
    <w:p w14:paraId="3B7AAFC8" w14:textId="77777777" w:rsidR="001C3C6E" w:rsidRDefault="001C3C6E">
      <w:pPr>
        <w:rPr>
          <w:rFonts w:ascii="Lato" w:hAnsi="Lato"/>
          <w:color w:val="5974D4"/>
          <w:sz w:val="32"/>
          <w:szCs w:val="32"/>
        </w:rPr>
      </w:pPr>
      <w:r>
        <w:br w:type="page"/>
      </w:r>
    </w:p>
    <w:p w14:paraId="19DA89F3" w14:textId="77777777" w:rsidR="00D752F4" w:rsidRDefault="00D752F4" w:rsidP="00FE1620">
      <w:pPr>
        <w:pStyle w:val="IntroductionTitle"/>
      </w:pPr>
    </w:p>
    <w:p w14:paraId="24095542" w14:textId="77777777" w:rsidR="00D752F4" w:rsidRDefault="00D752F4" w:rsidP="00FE1620">
      <w:pPr>
        <w:pStyle w:val="IntroductionTitle"/>
      </w:pPr>
    </w:p>
    <w:p w14:paraId="6897F760" w14:textId="77777777" w:rsidR="00D752F4" w:rsidRDefault="00D752F4" w:rsidP="00FE1620">
      <w:pPr>
        <w:pStyle w:val="IntroductionTitle"/>
      </w:pPr>
    </w:p>
    <w:p w14:paraId="1E77B5E8" w14:textId="77777777" w:rsidR="00D752F4" w:rsidRDefault="00D752F4" w:rsidP="00FE1620">
      <w:pPr>
        <w:pStyle w:val="IntroductionTitle"/>
      </w:pPr>
    </w:p>
    <w:p w14:paraId="5F6DF39C" w14:textId="77777777" w:rsidR="00D752F4" w:rsidRDefault="00D752F4" w:rsidP="00FE1620">
      <w:pPr>
        <w:pStyle w:val="IntroductionTitle"/>
      </w:pPr>
    </w:p>
    <w:p w14:paraId="43CA94C6" w14:textId="77777777" w:rsidR="00D752F4" w:rsidRDefault="00D752F4" w:rsidP="00FE1620">
      <w:pPr>
        <w:pStyle w:val="IntroductionTitle"/>
      </w:pPr>
    </w:p>
    <w:p w14:paraId="10197532" w14:textId="1827A3FB" w:rsidR="00527771" w:rsidRDefault="002F6C67" w:rsidP="00FE1620">
      <w:pPr>
        <w:pStyle w:val="IntroductionTitle"/>
      </w:pPr>
      <w:r>
        <w:t>Delete a</w:t>
      </w:r>
      <w:r w:rsidR="00F65E52">
        <w:t xml:space="preserve">ll pages from here </w:t>
      </w:r>
      <w:r w:rsidR="009A5BE7">
        <w:t xml:space="preserve">before </w:t>
      </w:r>
      <w:r w:rsidR="00D30D3C" w:rsidRPr="00D863A5">
        <w:t>giv</w:t>
      </w:r>
      <w:r w:rsidR="009A5BE7">
        <w:t xml:space="preserve">ing </w:t>
      </w:r>
      <w:r>
        <w:t xml:space="preserve">the contract </w:t>
      </w:r>
      <w:r w:rsidR="00D30D3C" w:rsidRPr="00D863A5">
        <w:t xml:space="preserve">to the </w:t>
      </w:r>
      <w:r w:rsidR="00704C12">
        <w:t>client</w:t>
      </w:r>
    </w:p>
    <w:p w14:paraId="2E9F7C32" w14:textId="376C4F06" w:rsidR="00F65E52" w:rsidRDefault="00F65E52" w:rsidP="00FE1620">
      <w:pPr>
        <w:rPr>
          <w:rFonts w:ascii="Lato" w:hAnsi="Lato"/>
          <w:color w:val="5974D4"/>
          <w:sz w:val="24"/>
          <w:szCs w:val="24"/>
          <w14:ligatures w14:val="standard"/>
        </w:rPr>
      </w:pPr>
      <w:r>
        <w:br w:type="page"/>
      </w:r>
    </w:p>
    <w:tbl>
      <w:tblPr>
        <w:tblStyle w:val="RECtable1"/>
        <w:tblW w:w="0" w:type="auto"/>
        <w:tblLook w:val="04A0" w:firstRow="1" w:lastRow="0" w:firstColumn="1" w:lastColumn="0" w:noHBand="0" w:noVBand="1"/>
      </w:tblPr>
      <w:tblGrid>
        <w:gridCol w:w="1250"/>
        <w:gridCol w:w="2588"/>
        <w:gridCol w:w="5178"/>
      </w:tblGrid>
      <w:tr w:rsidR="00D30D3C" w14:paraId="1E11E94D" w14:textId="77777777" w:rsidTr="001C3C6E">
        <w:trPr>
          <w:cnfStyle w:val="100000000000" w:firstRow="1" w:lastRow="0" w:firstColumn="0" w:lastColumn="0" w:oddVBand="0" w:evenVBand="0" w:oddHBand="0" w:evenHBand="0" w:firstRowFirstColumn="0" w:firstRowLastColumn="0" w:lastRowFirstColumn="0" w:lastRowLastColumn="0"/>
        </w:trPr>
        <w:tc>
          <w:tcPr>
            <w:tcW w:w="1250" w:type="dxa"/>
          </w:tcPr>
          <w:p w14:paraId="3912FE79" w14:textId="7466E19F" w:rsidR="00D30D3C" w:rsidRDefault="00D30D3C" w:rsidP="001C3C6E">
            <w:pPr>
              <w:pStyle w:val="BodyText"/>
            </w:pPr>
            <w:r w:rsidRPr="000F0764">
              <w:lastRenderedPageBreak/>
              <w:t>Note no.</w:t>
            </w:r>
          </w:p>
        </w:tc>
        <w:tc>
          <w:tcPr>
            <w:tcW w:w="2588" w:type="dxa"/>
          </w:tcPr>
          <w:p w14:paraId="28B947CB" w14:textId="29EA9144" w:rsidR="00D30D3C" w:rsidRDefault="00D30D3C" w:rsidP="001C3C6E">
            <w:pPr>
              <w:pStyle w:val="BodyText"/>
            </w:pPr>
            <w:r w:rsidRPr="000F0764">
              <w:t>Section</w:t>
            </w:r>
          </w:p>
        </w:tc>
        <w:tc>
          <w:tcPr>
            <w:tcW w:w="5178" w:type="dxa"/>
          </w:tcPr>
          <w:p w14:paraId="6703F66F" w14:textId="26D3A4F6" w:rsidR="00D30D3C" w:rsidRDefault="00D30D3C" w:rsidP="001C3C6E">
            <w:pPr>
              <w:pStyle w:val="BodyText"/>
            </w:pPr>
            <w:r w:rsidRPr="000F0764">
              <w:t>Explanation</w:t>
            </w:r>
          </w:p>
        </w:tc>
      </w:tr>
      <w:tr w:rsidR="006C34EA" w14:paraId="60D84186" w14:textId="77777777" w:rsidTr="001C3C6E">
        <w:tc>
          <w:tcPr>
            <w:tcW w:w="1250" w:type="dxa"/>
          </w:tcPr>
          <w:p w14:paraId="302FF4CF" w14:textId="2A5B0FB9" w:rsidR="006C34EA" w:rsidRPr="00661B5F" w:rsidRDefault="006C34EA" w:rsidP="00FE28C9">
            <w:pPr>
              <w:pStyle w:val="BodyText"/>
              <w:numPr>
                <w:ilvl w:val="0"/>
                <w:numId w:val="22"/>
              </w:numPr>
            </w:pPr>
          </w:p>
        </w:tc>
        <w:tc>
          <w:tcPr>
            <w:tcW w:w="2588" w:type="dxa"/>
          </w:tcPr>
          <w:p w14:paraId="3ACF67C4" w14:textId="187A23CA" w:rsidR="006C34EA" w:rsidRPr="00FE1620" w:rsidRDefault="006C34EA" w:rsidP="001C3C6E">
            <w:pPr>
              <w:pStyle w:val="BodyText"/>
            </w:pPr>
            <w:r w:rsidRPr="00FE1620">
              <w:rPr>
                <w:bCs/>
              </w:rPr>
              <w:t>(Parties)</w:t>
            </w:r>
          </w:p>
        </w:tc>
        <w:tc>
          <w:tcPr>
            <w:tcW w:w="5178" w:type="dxa"/>
          </w:tcPr>
          <w:p w14:paraId="20BBBEFF" w14:textId="5AF9A90E" w:rsidR="006C34EA" w:rsidRPr="00FE1620" w:rsidRDefault="006C34EA" w:rsidP="001C3C6E">
            <w:pPr>
              <w:pStyle w:val="BodyText"/>
              <w:rPr>
                <w:color w:val="002060"/>
              </w:rPr>
            </w:pPr>
            <w:r w:rsidRPr="00FE1620">
              <w:rPr>
                <w:color w:val="002060"/>
              </w:rPr>
              <w:t xml:space="preserve">All companies have a registered </w:t>
            </w:r>
            <w:r w:rsidR="006B665A" w:rsidRPr="00FE1620">
              <w:rPr>
                <w:color w:val="002060"/>
              </w:rPr>
              <w:t xml:space="preserve">company </w:t>
            </w:r>
            <w:r w:rsidRPr="00FE1620">
              <w:rPr>
                <w:color w:val="002060"/>
              </w:rPr>
              <w:t xml:space="preserve">number.  Though a company can change its name repeatedly, it cannot change its registered number. </w:t>
            </w:r>
            <w:r w:rsidR="00932907" w:rsidRPr="00FE1620">
              <w:rPr>
                <w:color w:val="002060"/>
              </w:rPr>
              <w:t>So,</w:t>
            </w:r>
            <w:r w:rsidRPr="00FE1620">
              <w:rPr>
                <w:color w:val="002060"/>
              </w:rPr>
              <w:t xml:space="preserve"> include the registered </w:t>
            </w:r>
            <w:r w:rsidR="006B665A" w:rsidRPr="00FE1620">
              <w:rPr>
                <w:color w:val="002060"/>
              </w:rPr>
              <w:t xml:space="preserve">company </w:t>
            </w:r>
            <w:r w:rsidRPr="00FE1620">
              <w:rPr>
                <w:color w:val="002060"/>
              </w:rPr>
              <w:t xml:space="preserve">number here to avoid future disagreements about which company provided its services. </w:t>
            </w:r>
          </w:p>
          <w:p w14:paraId="5D9B0278" w14:textId="77777777" w:rsidR="006C34EA" w:rsidRPr="00FE1620" w:rsidRDefault="006C34EA" w:rsidP="001C3C6E">
            <w:pPr>
              <w:pStyle w:val="BodyText"/>
              <w:rPr>
                <w:bCs/>
                <w:color w:val="002060"/>
              </w:rPr>
            </w:pPr>
          </w:p>
          <w:p w14:paraId="1EBA9A86" w14:textId="769FC7F2" w:rsidR="006C34EA" w:rsidRPr="00FE1620" w:rsidRDefault="006C34EA" w:rsidP="001C3C6E">
            <w:pPr>
              <w:pStyle w:val="BodyText"/>
              <w:rPr>
                <w:bCs/>
                <w:color w:val="002060"/>
              </w:rPr>
            </w:pPr>
            <w:r w:rsidRPr="00FE1620">
              <w:rPr>
                <w:bCs/>
                <w:color w:val="002060"/>
              </w:rPr>
              <w:t>Limited companies must have a registered office w</w:t>
            </w:r>
            <w:r w:rsidR="00C90E1F">
              <w:rPr>
                <w:bCs/>
                <w:color w:val="002060"/>
              </w:rPr>
              <w:t>here</w:t>
            </w:r>
            <w:r w:rsidRPr="00FE1620">
              <w:rPr>
                <w:bCs/>
                <w:color w:val="002060"/>
              </w:rPr>
              <w:t xml:space="preserve"> all post can be directed</w:t>
            </w:r>
            <w:r w:rsidR="0082505D">
              <w:rPr>
                <w:bCs/>
                <w:color w:val="002060"/>
              </w:rPr>
              <w:t xml:space="preserve"> to</w:t>
            </w:r>
            <w:r w:rsidRPr="00FE1620">
              <w:rPr>
                <w:bCs/>
                <w:color w:val="002060"/>
              </w:rPr>
              <w:t xml:space="preserve"> (and where it will be considered received by the company). Companies may also have a trading address which is different to the registered office address. You can state either the registered office or the trading address but if either address changes, the other party must be notified. </w:t>
            </w:r>
          </w:p>
          <w:p w14:paraId="4DFFEF21" w14:textId="77777777" w:rsidR="006C34EA" w:rsidRPr="00FE1620" w:rsidRDefault="006C34EA" w:rsidP="001C3C6E">
            <w:pPr>
              <w:pStyle w:val="BodyText"/>
              <w:rPr>
                <w:color w:val="002060"/>
              </w:rPr>
            </w:pPr>
          </w:p>
          <w:p w14:paraId="41CC9761" w14:textId="08AD4D1C" w:rsidR="006B665A" w:rsidRPr="00FE1620" w:rsidRDefault="006B665A" w:rsidP="001C3C6E">
            <w:pPr>
              <w:pStyle w:val="BodyText"/>
              <w:rPr>
                <w:color w:val="002060"/>
              </w:rPr>
            </w:pPr>
            <w:r w:rsidRPr="00FE1620">
              <w:rPr>
                <w:color w:val="002060"/>
              </w:rPr>
              <w:t xml:space="preserve">If your client is a public authority, it will not have a registered company number or address unless it is a company set up by a public authority such as a NHS Digital (set up by the NHS to manage its IT programmes). </w:t>
            </w:r>
          </w:p>
        </w:tc>
      </w:tr>
      <w:tr w:rsidR="006C34EA" w14:paraId="0F3FBC01" w14:textId="77777777" w:rsidTr="001C3C6E">
        <w:tc>
          <w:tcPr>
            <w:tcW w:w="1250" w:type="dxa"/>
          </w:tcPr>
          <w:p w14:paraId="635690FD" w14:textId="0276FC62" w:rsidR="006C34EA" w:rsidRPr="00661B5F" w:rsidRDefault="006C34EA" w:rsidP="00FE28C9">
            <w:pPr>
              <w:pStyle w:val="BodyText"/>
              <w:numPr>
                <w:ilvl w:val="0"/>
                <w:numId w:val="22"/>
              </w:numPr>
            </w:pPr>
          </w:p>
        </w:tc>
        <w:tc>
          <w:tcPr>
            <w:tcW w:w="2588" w:type="dxa"/>
          </w:tcPr>
          <w:p w14:paraId="0B05158D" w14:textId="2841FD83" w:rsidR="006C34EA" w:rsidRPr="00FE1620" w:rsidRDefault="006C34EA" w:rsidP="001C3C6E">
            <w:pPr>
              <w:pStyle w:val="BodyText"/>
            </w:pPr>
            <w:r w:rsidRPr="00FE1620">
              <w:rPr>
                <w:bCs/>
              </w:rPr>
              <w:t>(Parties) “Employment Business”</w:t>
            </w:r>
          </w:p>
        </w:tc>
        <w:tc>
          <w:tcPr>
            <w:tcW w:w="5178" w:type="dxa"/>
          </w:tcPr>
          <w:p w14:paraId="06A76050" w14:textId="77777777" w:rsidR="006C34EA" w:rsidRPr="00FE1620" w:rsidRDefault="006C34EA" w:rsidP="001C3C6E">
            <w:pPr>
              <w:pStyle w:val="BodyText"/>
              <w:rPr>
                <w:bCs/>
                <w:color w:val="002060"/>
              </w:rPr>
            </w:pPr>
            <w:r w:rsidRPr="00FE1620">
              <w:rPr>
                <w:bCs/>
                <w:color w:val="002060"/>
              </w:rPr>
              <w:t>If the Employment Business is a Limited Liability Partnership insert the following on page 1.</w:t>
            </w:r>
          </w:p>
          <w:p w14:paraId="5E2688BF" w14:textId="77777777" w:rsidR="006C34EA" w:rsidRPr="00FE1620" w:rsidRDefault="006C34EA" w:rsidP="001C3C6E">
            <w:pPr>
              <w:pStyle w:val="BodyText"/>
              <w:rPr>
                <w:bCs/>
                <w:color w:val="002060"/>
              </w:rPr>
            </w:pPr>
            <w:r w:rsidRPr="00FE1620">
              <w:rPr>
                <w:bCs/>
                <w:color w:val="002060"/>
              </w:rPr>
              <w:t xml:space="preserve"> </w:t>
            </w:r>
          </w:p>
          <w:p w14:paraId="5D187B51" w14:textId="626533A6" w:rsidR="006C34EA" w:rsidRPr="00947ABB" w:rsidRDefault="006C34EA" w:rsidP="001C3C6E">
            <w:pPr>
              <w:pStyle w:val="BodyText"/>
              <w:rPr>
                <w:bCs/>
                <w:color w:val="002060"/>
              </w:rPr>
            </w:pPr>
            <w:r w:rsidRPr="00FE1620">
              <w:rPr>
                <w:bCs/>
                <w:color w:val="002060"/>
                <w:highlight w:val="lightGray"/>
              </w:rPr>
              <w:t>[Insert your business name]</w:t>
            </w:r>
            <w:r w:rsidRPr="00FE1620">
              <w:rPr>
                <w:bCs/>
                <w:color w:val="002060"/>
              </w:rPr>
              <w:t xml:space="preserve"> Limited Liability Partnership (registered LLP no. </w:t>
            </w:r>
            <w:r w:rsidRPr="00FE1620">
              <w:rPr>
                <w:bCs/>
                <w:color w:val="002060"/>
                <w:highlight w:val="lightGray"/>
              </w:rPr>
              <w:t>[insert registered company or LLP no.]</w:t>
            </w:r>
            <w:r w:rsidRPr="00FE1620">
              <w:rPr>
                <w:bCs/>
                <w:color w:val="002060"/>
              </w:rPr>
              <w:t xml:space="preserve">) </w:t>
            </w:r>
            <w:r w:rsidRPr="00FE1620">
              <w:rPr>
                <w:bCs/>
                <w:color w:val="002060"/>
                <w:highlight w:val="lightGray"/>
              </w:rPr>
              <w:t>[trading as [insert trading name if different]]</w:t>
            </w:r>
            <w:r w:rsidRPr="00FE1620">
              <w:rPr>
                <w:bCs/>
                <w:color w:val="002060"/>
              </w:rPr>
              <w:t xml:space="preserve"> of </w:t>
            </w:r>
            <w:r w:rsidRPr="00FE1620">
              <w:rPr>
                <w:bCs/>
                <w:color w:val="002060"/>
                <w:highlight w:val="lightGray"/>
              </w:rPr>
              <w:t>[address]</w:t>
            </w:r>
            <w:r w:rsidRPr="00FE1620">
              <w:rPr>
                <w:bCs/>
                <w:color w:val="002060"/>
              </w:rPr>
              <w:t xml:space="preserve"> (“the Employment Business”).</w:t>
            </w:r>
          </w:p>
        </w:tc>
      </w:tr>
      <w:tr w:rsidR="006C34EA" w14:paraId="2C0FF9B4" w14:textId="77777777" w:rsidTr="001C3C6E">
        <w:tc>
          <w:tcPr>
            <w:tcW w:w="1250" w:type="dxa"/>
          </w:tcPr>
          <w:p w14:paraId="1B1C2338" w14:textId="29BCFCB7" w:rsidR="006C34EA" w:rsidRPr="00661B5F" w:rsidRDefault="006C34EA" w:rsidP="00FE28C9">
            <w:pPr>
              <w:pStyle w:val="BodyText"/>
              <w:numPr>
                <w:ilvl w:val="0"/>
                <w:numId w:val="22"/>
              </w:numPr>
            </w:pPr>
          </w:p>
        </w:tc>
        <w:tc>
          <w:tcPr>
            <w:tcW w:w="2588" w:type="dxa"/>
          </w:tcPr>
          <w:p w14:paraId="772CE698" w14:textId="77777777" w:rsidR="006C34EA" w:rsidRPr="00FE1620" w:rsidRDefault="006C34EA" w:rsidP="001C3C6E">
            <w:pPr>
              <w:pStyle w:val="BodyText"/>
              <w:rPr>
                <w:bCs/>
              </w:rPr>
            </w:pPr>
            <w:r w:rsidRPr="00FE1620">
              <w:rPr>
                <w:bCs/>
              </w:rPr>
              <w:t>(Parties)</w:t>
            </w:r>
          </w:p>
          <w:p w14:paraId="217FDF4E" w14:textId="10974936" w:rsidR="006C34EA" w:rsidRPr="00FE1620" w:rsidRDefault="006C34EA" w:rsidP="001C3C6E">
            <w:pPr>
              <w:pStyle w:val="BodyText"/>
            </w:pPr>
            <w:r w:rsidRPr="00FE1620">
              <w:rPr>
                <w:bCs/>
              </w:rPr>
              <w:t>“Client”</w:t>
            </w:r>
          </w:p>
        </w:tc>
        <w:tc>
          <w:tcPr>
            <w:tcW w:w="5178" w:type="dxa"/>
          </w:tcPr>
          <w:p w14:paraId="16E056FD" w14:textId="77777777" w:rsidR="006C34EA" w:rsidRPr="00FE1620" w:rsidRDefault="006C34EA" w:rsidP="001C3C6E">
            <w:pPr>
              <w:pStyle w:val="BodyText"/>
              <w:rPr>
                <w:bCs/>
                <w:color w:val="002060"/>
              </w:rPr>
            </w:pPr>
            <w:r w:rsidRPr="00FE1620">
              <w:rPr>
                <w:bCs/>
                <w:color w:val="002060"/>
              </w:rPr>
              <w:t>If the Client is a Limited Liability Partnership insert the following on page 1.</w:t>
            </w:r>
          </w:p>
          <w:p w14:paraId="3775EE7E" w14:textId="77777777" w:rsidR="006C34EA" w:rsidRPr="00FE1620" w:rsidRDefault="006C34EA" w:rsidP="001C3C6E">
            <w:pPr>
              <w:pStyle w:val="BodyText"/>
              <w:rPr>
                <w:bCs/>
                <w:color w:val="002060"/>
              </w:rPr>
            </w:pPr>
            <w:r w:rsidRPr="00FE1620">
              <w:rPr>
                <w:bCs/>
                <w:color w:val="002060"/>
              </w:rPr>
              <w:t xml:space="preserve"> </w:t>
            </w:r>
          </w:p>
          <w:p w14:paraId="41A68382" w14:textId="76C8D431" w:rsidR="006C34EA" w:rsidRPr="00947ABB" w:rsidRDefault="006C34EA" w:rsidP="001C3C6E">
            <w:pPr>
              <w:pStyle w:val="BodyText"/>
              <w:rPr>
                <w:bCs/>
                <w:color w:val="002060"/>
              </w:rPr>
            </w:pPr>
            <w:r w:rsidRPr="00FE1620">
              <w:rPr>
                <w:bCs/>
                <w:color w:val="002060"/>
                <w:highlight w:val="lightGray"/>
              </w:rPr>
              <w:t>[Insert Client’s name]</w:t>
            </w:r>
            <w:r w:rsidRPr="00FE1620">
              <w:rPr>
                <w:bCs/>
                <w:color w:val="002060"/>
              </w:rPr>
              <w:t xml:space="preserve"> Limited Liability Partnership (registered LLP no. </w:t>
            </w:r>
            <w:r w:rsidRPr="00FE1620">
              <w:rPr>
                <w:bCs/>
                <w:color w:val="002060"/>
                <w:highlight w:val="lightGray"/>
              </w:rPr>
              <w:t>[insert registered company or LLP no.]</w:t>
            </w:r>
            <w:r w:rsidRPr="00FE1620">
              <w:rPr>
                <w:bCs/>
                <w:color w:val="002060"/>
              </w:rPr>
              <w:t xml:space="preserve">) </w:t>
            </w:r>
            <w:r w:rsidRPr="00FE1620">
              <w:rPr>
                <w:bCs/>
                <w:color w:val="002060"/>
                <w:highlight w:val="lightGray"/>
              </w:rPr>
              <w:t>[trading as [insert trading name if different]]</w:t>
            </w:r>
            <w:r w:rsidRPr="00FE1620">
              <w:rPr>
                <w:bCs/>
                <w:color w:val="002060"/>
              </w:rPr>
              <w:t xml:space="preserve"> of </w:t>
            </w:r>
            <w:r w:rsidRPr="00FE1620">
              <w:rPr>
                <w:bCs/>
                <w:color w:val="002060"/>
                <w:highlight w:val="lightGray"/>
              </w:rPr>
              <w:t>[address]</w:t>
            </w:r>
            <w:r w:rsidRPr="00FE1620">
              <w:rPr>
                <w:bCs/>
                <w:color w:val="002060"/>
              </w:rPr>
              <w:t xml:space="preserve"> (“the Client”).</w:t>
            </w:r>
          </w:p>
        </w:tc>
      </w:tr>
      <w:tr w:rsidR="006C34EA" w14:paraId="4E97353A" w14:textId="77777777" w:rsidTr="001C3C6E">
        <w:tc>
          <w:tcPr>
            <w:tcW w:w="1250" w:type="dxa"/>
          </w:tcPr>
          <w:p w14:paraId="04FDF79C" w14:textId="5237CC67" w:rsidR="006C34EA" w:rsidRPr="00661B5F" w:rsidRDefault="006C34EA" w:rsidP="00FE28C9">
            <w:pPr>
              <w:pStyle w:val="BodyText"/>
              <w:numPr>
                <w:ilvl w:val="0"/>
                <w:numId w:val="22"/>
              </w:numPr>
            </w:pPr>
          </w:p>
        </w:tc>
        <w:tc>
          <w:tcPr>
            <w:tcW w:w="2588" w:type="dxa"/>
          </w:tcPr>
          <w:p w14:paraId="5A565EB9" w14:textId="77777777" w:rsidR="006C34EA" w:rsidRPr="00FE1620" w:rsidRDefault="006C34EA" w:rsidP="001C3C6E">
            <w:pPr>
              <w:pStyle w:val="BodyText"/>
            </w:pPr>
            <w:r w:rsidRPr="00FE1620">
              <w:t xml:space="preserve">1 (Definitions) </w:t>
            </w:r>
          </w:p>
          <w:p w14:paraId="3E7CC03D" w14:textId="77777777" w:rsidR="006C34EA" w:rsidRPr="00FE1620" w:rsidRDefault="006C34EA" w:rsidP="001C3C6E">
            <w:pPr>
              <w:pStyle w:val="BodyText"/>
            </w:pPr>
            <w:r w:rsidRPr="00FE1620">
              <w:t>“Apprenticeship Levy”</w:t>
            </w:r>
          </w:p>
          <w:p w14:paraId="1E10D239" w14:textId="59549037" w:rsidR="006C34EA" w:rsidRPr="00FE1620" w:rsidRDefault="006C34EA" w:rsidP="001C3C6E">
            <w:pPr>
              <w:pStyle w:val="BodyText"/>
            </w:pPr>
          </w:p>
        </w:tc>
        <w:tc>
          <w:tcPr>
            <w:tcW w:w="5178" w:type="dxa"/>
          </w:tcPr>
          <w:p w14:paraId="52E7C69D" w14:textId="32458880" w:rsidR="006C34EA" w:rsidRPr="00FE1620" w:rsidRDefault="006C34EA" w:rsidP="001C3C6E">
            <w:pPr>
              <w:pStyle w:val="BodyText"/>
              <w:rPr>
                <w:color w:val="002060"/>
              </w:rPr>
            </w:pPr>
            <w:r w:rsidRPr="00FE1620">
              <w:rPr>
                <w:color w:val="002060"/>
              </w:rPr>
              <w:t xml:space="preserve">The Apprenticeship Levy was introduced in April 2017.  All businesses with an annual pay bill greater than £3 million will be required to pay the levy calculated at 0.5% of the pay bill. </w:t>
            </w:r>
            <w:r w:rsidR="00C90E1F">
              <w:rPr>
                <w:color w:val="002060"/>
              </w:rPr>
              <w:t>T</w:t>
            </w:r>
            <w:r w:rsidRPr="00FE1620">
              <w:rPr>
                <w:color w:val="002060"/>
              </w:rPr>
              <w:t xml:space="preserve">he pay bill and levy are calculated on a monthly cumulative basis so </w:t>
            </w:r>
            <w:r w:rsidR="001E36D5" w:rsidRPr="00FE1620">
              <w:rPr>
                <w:color w:val="002060"/>
              </w:rPr>
              <w:t>e</w:t>
            </w:r>
            <w:r w:rsidRPr="00FE1620">
              <w:rPr>
                <w:color w:val="002060"/>
              </w:rPr>
              <w:t xml:space="preserve">mployment </w:t>
            </w:r>
            <w:r w:rsidR="001E36D5" w:rsidRPr="00FE1620">
              <w:rPr>
                <w:color w:val="002060"/>
              </w:rPr>
              <w:t>b</w:t>
            </w:r>
            <w:r w:rsidRPr="00FE1620">
              <w:rPr>
                <w:color w:val="002060"/>
              </w:rPr>
              <w:t xml:space="preserve">usinesses with fluctuating pay bills could find themselves liable to pay the levy sooner than they think.  </w:t>
            </w:r>
            <w:r w:rsidR="00BA0377">
              <w:rPr>
                <w:color w:val="002060"/>
              </w:rPr>
              <w:t>Temporary Resources</w:t>
            </w:r>
            <w:r w:rsidRPr="00FE1620">
              <w:rPr>
                <w:color w:val="002060"/>
              </w:rPr>
              <w:t xml:space="preserve"> paid directly by the employment business, including those working on an Inside IR35 assignment, will count towards the business’s pay bill.  If they work through an umbrella company their earnings will count towards the umbrella company’s pay</w:t>
            </w:r>
            <w:r w:rsidR="00C90E1F">
              <w:rPr>
                <w:color w:val="002060"/>
              </w:rPr>
              <w:t xml:space="preserve"> </w:t>
            </w:r>
            <w:r w:rsidRPr="00FE1620">
              <w:rPr>
                <w:color w:val="002060"/>
              </w:rPr>
              <w:t>bill for apprenticeship levy purposes.</w:t>
            </w:r>
          </w:p>
          <w:p w14:paraId="20BB68CD" w14:textId="77777777" w:rsidR="006C34EA" w:rsidRPr="00FE1620" w:rsidRDefault="006C34EA" w:rsidP="001C3C6E">
            <w:pPr>
              <w:pStyle w:val="BodyText"/>
              <w:rPr>
                <w:color w:val="002060"/>
              </w:rPr>
            </w:pPr>
          </w:p>
          <w:p w14:paraId="065D912E" w14:textId="18CCC92B" w:rsidR="006C34EA" w:rsidRPr="00FE1620" w:rsidRDefault="00F73649" w:rsidP="001C3C6E">
            <w:pPr>
              <w:pStyle w:val="BodyText"/>
              <w:rPr>
                <w:color w:val="002060"/>
              </w:rPr>
            </w:pPr>
            <w:r w:rsidRPr="00FE1620">
              <w:rPr>
                <w:color w:val="002060"/>
              </w:rPr>
              <w:lastRenderedPageBreak/>
              <w:t xml:space="preserve">For more detail </w:t>
            </w:r>
            <w:r>
              <w:rPr>
                <w:color w:val="002060"/>
              </w:rPr>
              <w:t xml:space="preserve">see </w:t>
            </w:r>
            <w:r w:rsidRPr="00FE1620">
              <w:rPr>
                <w:color w:val="002060"/>
              </w:rPr>
              <w:t xml:space="preserve">the </w:t>
            </w:r>
            <w:hyperlink r:id="rId23" w:history="1">
              <w:r w:rsidRPr="00C3668F">
                <w:rPr>
                  <w:rStyle w:val="Hyperlink"/>
                  <w:color w:val="36BEAE" w:themeColor="text2"/>
                </w:rPr>
                <w:t>apprenticeship levy</w:t>
              </w:r>
            </w:hyperlink>
            <w:r>
              <w:rPr>
                <w:color w:val="002060"/>
              </w:rPr>
              <w:t xml:space="preserve"> section of the REC legal guide.</w:t>
            </w:r>
          </w:p>
        </w:tc>
      </w:tr>
      <w:tr w:rsidR="006C34EA" w14:paraId="761104CD" w14:textId="77777777" w:rsidTr="001C3C6E">
        <w:tc>
          <w:tcPr>
            <w:tcW w:w="1250" w:type="dxa"/>
          </w:tcPr>
          <w:p w14:paraId="31D83994" w14:textId="77777777" w:rsidR="006C34EA" w:rsidRPr="00661B5F" w:rsidRDefault="006C34EA" w:rsidP="00FE28C9">
            <w:pPr>
              <w:pStyle w:val="BodyText"/>
              <w:numPr>
                <w:ilvl w:val="0"/>
                <w:numId w:val="22"/>
              </w:numPr>
            </w:pPr>
          </w:p>
        </w:tc>
        <w:tc>
          <w:tcPr>
            <w:tcW w:w="2588" w:type="dxa"/>
          </w:tcPr>
          <w:p w14:paraId="166BF8EC" w14:textId="77777777" w:rsidR="006C34EA" w:rsidRPr="00FE1620" w:rsidRDefault="006C34EA" w:rsidP="001C3C6E">
            <w:pPr>
              <w:pStyle w:val="BodyText"/>
              <w:rPr>
                <w:bCs/>
              </w:rPr>
            </w:pPr>
            <w:r w:rsidRPr="00FE1620">
              <w:rPr>
                <w:bCs/>
              </w:rPr>
              <w:t xml:space="preserve">1 (Definitions) </w:t>
            </w:r>
          </w:p>
          <w:p w14:paraId="47392C22" w14:textId="77777777" w:rsidR="006C34EA" w:rsidRPr="00FE1620" w:rsidRDefault="006C34EA" w:rsidP="001C3C6E">
            <w:pPr>
              <w:pStyle w:val="BodyText"/>
              <w:rPr>
                <w:bCs/>
              </w:rPr>
            </w:pPr>
            <w:r w:rsidRPr="00FE1620">
              <w:rPr>
                <w:bCs/>
              </w:rPr>
              <w:t>“</w:t>
            </w:r>
            <w:proofErr w:type="spellStart"/>
            <w:r w:rsidRPr="00FE1620">
              <w:rPr>
                <w:bCs/>
              </w:rPr>
              <w:t>AWR</w:t>
            </w:r>
            <w:proofErr w:type="spellEnd"/>
            <w:r w:rsidRPr="00FE1620">
              <w:rPr>
                <w:bCs/>
              </w:rPr>
              <w:t>”</w:t>
            </w:r>
          </w:p>
          <w:p w14:paraId="4F25B38A" w14:textId="77777777" w:rsidR="006C34EA" w:rsidRPr="00FE1620" w:rsidRDefault="006C34EA" w:rsidP="001C3C6E">
            <w:pPr>
              <w:pStyle w:val="BodyText"/>
            </w:pPr>
          </w:p>
        </w:tc>
        <w:tc>
          <w:tcPr>
            <w:tcW w:w="5178" w:type="dxa"/>
          </w:tcPr>
          <w:p w14:paraId="775EE93E" w14:textId="1E06F2FA" w:rsidR="006C34EA" w:rsidRPr="00FE1620" w:rsidRDefault="006C34EA" w:rsidP="001C3C6E">
            <w:pPr>
              <w:pStyle w:val="BodyText"/>
              <w:rPr>
                <w:color w:val="002060"/>
              </w:rPr>
            </w:pPr>
            <w:r w:rsidRPr="00FE1620">
              <w:rPr>
                <w:color w:val="002060"/>
              </w:rPr>
              <w:t xml:space="preserve">The </w:t>
            </w:r>
            <w:r w:rsidR="00304D2E">
              <w:rPr>
                <w:color w:val="002060"/>
              </w:rPr>
              <w:t>Agency Worker</w:t>
            </w:r>
            <w:r w:rsidRPr="00FE1620">
              <w:rPr>
                <w:color w:val="002060"/>
              </w:rPr>
              <w:t xml:space="preserve">s Regulations 2010 have applied in England, Scotland and Wales since 1 October 2011. </w:t>
            </w:r>
          </w:p>
          <w:p w14:paraId="0F26E803" w14:textId="77777777" w:rsidR="006C34EA" w:rsidRPr="00FE1620" w:rsidRDefault="006C34EA" w:rsidP="001C3C6E">
            <w:pPr>
              <w:pStyle w:val="BodyText"/>
              <w:rPr>
                <w:color w:val="002060"/>
              </w:rPr>
            </w:pPr>
          </w:p>
          <w:p w14:paraId="629F7190" w14:textId="316650E0" w:rsidR="006C34EA" w:rsidRPr="00FE1620" w:rsidRDefault="006C34EA" w:rsidP="001C3C6E">
            <w:pPr>
              <w:pStyle w:val="BodyText"/>
              <w:rPr>
                <w:color w:val="002060"/>
              </w:rPr>
            </w:pPr>
            <w:r w:rsidRPr="00FE1620">
              <w:rPr>
                <w:color w:val="002060"/>
              </w:rPr>
              <w:t xml:space="preserve">The </w:t>
            </w:r>
            <w:r w:rsidR="00304D2E">
              <w:rPr>
                <w:color w:val="002060"/>
              </w:rPr>
              <w:t>Agency Worker</w:t>
            </w:r>
            <w:r w:rsidRPr="00FE1620">
              <w:rPr>
                <w:color w:val="002060"/>
              </w:rPr>
              <w:t xml:space="preserve">s (Northern Ireland) Regulations 2011 have applied in Northern Ireland since 5 December 2011. </w:t>
            </w:r>
          </w:p>
          <w:p w14:paraId="19D47D2D" w14:textId="77777777" w:rsidR="006C34EA" w:rsidRPr="00FE1620" w:rsidRDefault="006C34EA" w:rsidP="001C3C6E">
            <w:pPr>
              <w:pStyle w:val="BodyText"/>
              <w:rPr>
                <w:color w:val="002060"/>
              </w:rPr>
            </w:pPr>
          </w:p>
          <w:p w14:paraId="07D2F55A" w14:textId="77777777" w:rsidR="006C34EA" w:rsidRPr="00FE1620" w:rsidRDefault="006C34EA" w:rsidP="001C3C6E">
            <w:pPr>
              <w:pStyle w:val="BodyText"/>
              <w:rPr>
                <w:color w:val="002060"/>
              </w:rPr>
            </w:pPr>
            <w:r w:rsidRPr="00FE1620">
              <w:rPr>
                <w:color w:val="002060"/>
              </w:rPr>
              <w:t xml:space="preserve">Use according to where you operate. </w:t>
            </w:r>
          </w:p>
          <w:p w14:paraId="431B348B" w14:textId="77777777" w:rsidR="006C34EA" w:rsidRPr="00FE1620" w:rsidRDefault="006C34EA" w:rsidP="001C3C6E">
            <w:pPr>
              <w:pStyle w:val="BodyText"/>
              <w:rPr>
                <w:color w:val="002060"/>
              </w:rPr>
            </w:pPr>
          </w:p>
          <w:p w14:paraId="05BB90D7" w14:textId="61415E43" w:rsidR="006C34EA" w:rsidRPr="005173E8" w:rsidRDefault="006C34EA" w:rsidP="001C3C6E">
            <w:pPr>
              <w:pStyle w:val="BodyText"/>
              <w:rPr>
                <w:b/>
                <w:bCs/>
                <w:color w:val="002060"/>
              </w:rPr>
            </w:pPr>
            <w:r w:rsidRPr="005173E8">
              <w:rPr>
                <w:b/>
                <w:bCs/>
                <w:color w:val="002060"/>
              </w:rPr>
              <w:t xml:space="preserve">Is a temporary worker an </w:t>
            </w:r>
            <w:r w:rsidR="00304D2E">
              <w:rPr>
                <w:b/>
                <w:bCs/>
                <w:color w:val="002060"/>
              </w:rPr>
              <w:t>Agency Worker</w:t>
            </w:r>
            <w:r w:rsidRPr="005173E8">
              <w:rPr>
                <w:b/>
                <w:bCs/>
                <w:color w:val="002060"/>
              </w:rPr>
              <w:t xml:space="preserve">? </w:t>
            </w:r>
          </w:p>
          <w:p w14:paraId="07B04181" w14:textId="1CC98C49" w:rsidR="006C34EA" w:rsidRPr="00FE1620" w:rsidRDefault="006C34EA" w:rsidP="001C3C6E">
            <w:pPr>
              <w:pStyle w:val="BodyText"/>
              <w:rPr>
                <w:color w:val="002060"/>
              </w:rPr>
            </w:pPr>
            <w:r w:rsidRPr="00FE1620">
              <w:rPr>
                <w:color w:val="002060"/>
              </w:rPr>
              <w:t xml:space="preserve">Temporary workers who are engaged on contracts for services or contracts of employment, whether directly engaged by the employment business or through an umbrella company, will be </w:t>
            </w:r>
            <w:r w:rsidR="00304D2E">
              <w:rPr>
                <w:color w:val="002060"/>
              </w:rPr>
              <w:t>Agency Worker</w:t>
            </w:r>
            <w:r w:rsidRPr="00FE1620">
              <w:rPr>
                <w:color w:val="002060"/>
              </w:rPr>
              <w:t xml:space="preserve">s for the purposes of the </w:t>
            </w:r>
            <w:proofErr w:type="spellStart"/>
            <w:r w:rsidRPr="00FE1620">
              <w:rPr>
                <w:color w:val="002060"/>
              </w:rPr>
              <w:t>AWR</w:t>
            </w:r>
            <w:proofErr w:type="spellEnd"/>
            <w:r w:rsidRPr="00FE1620">
              <w:rPr>
                <w:color w:val="002060"/>
              </w:rPr>
              <w:t xml:space="preserve">.  However, it is more complicated when dealing with temporary workers working through their own limited companies. </w:t>
            </w:r>
          </w:p>
          <w:p w14:paraId="0FCDAA96" w14:textId="77777777" w:rsidR="006C34EA" w:rsidRPr="00FE1620" w:rsidRDefault="006C34EA" w:rsidP="001C3C6E">
            <w:pPr>
              <w:pStyle w:val="BodyText"/>
              <w:rPr>
                <w:color w:val="002060"/>
              </w:rPr>
            </w:pPr>
          </w:p>
          <w:p w14:paraId="60160339" w14:textId="77777777" w:rsidR="006C34EA" w:rsidRPr="005173E8" w:rsidRDefault="006C34EA" w:rsidP="001C3C6E">
            <w:pPr>
              <w:pStyle w:val="BodyText"/>
              <w:rPr>
                <w:b/>
                <w:bCs/>
                <w:color w:val="002060"/>
              </w:rPr>
            </w:pPr>
            <w:r w:rsidRPr="005173E8">
              <w:rPr>
                <w:b/>
                <w:bCs/>
                <w:color w:val="002060"/>
              </w:rPr>
              <w:t xml:space="preserve">Interaction between tax and employment status: </w:t>
            </w:r>
          </w:p>
          <w:p w14:paraId="47868D87" w14:textId="3F7E0DF9" w:rsidR="006C34EA" w:rsidRPr="00FE1620" w:rsidRDefault="00D03500" w:rsidP="001C3C6E">
            <w:pPr>
              <w:pStyle w:val="BodyText"/>
              <w:rPr>
                <w:color w:val="002060"/>
              </w:rPr>
            </w:pPr>
            <w:r>
              <w:rPr>
                <w:color w:val="002060"/>
              </w:rPr>
              <w:t>T</w:t>
            </w:r>
            <w:r w:rsidR="006C34EA" w:rsidRPr="00FE1620">
              <w:rPr>
                <w:color w:val="002060"/>
              </w:rPr>
              <w:t xml:space="preserve">here is no correlation between inside IR35 status for tax purposes and </w:t>
            </w:r>
            <w:proofErr w:type="spellStart"/>
            <w:r w:rsidR="006C34EA" w:rsidRPr="00FE1620">
              <w:rPr>
                <w:color w:val="002060"/>
              </w:rPr>
              <w:t>AWR</w:t>
            </w:r>
            <w:proofErr w:type="spellEnd"/>
            <w:r w:rsidR="006C34EA" w:rsidRPr="00FE1620">
              <w:rPr>
                <w:color w:val="002060"/>
              </w:rPr>
              <w:t xml:space="preserve"> rights for employment rights purposes.  The Government have committed to looking at aligning tax and employment rights but have not done so at the time of publishing this contract.  Meanwhile, an individual working through a temporary work agency, which includes a PSC, will be an </w:t>
            </w:r>
            <w:r w:rsidR="00304D2E">
              <w:rPr>
                <w:color w:val="002060"/>
              </w:rPr>
              <w:t>Agency Worker</w:t>
            </w:r>
            <w:r w:rsidR="006C34EA" w:rsidRPr="00FE1620">
              <w:rPr>
                <w:color w:val="002060"/>
              </w:rPr>
              <w:t xml:space="preserve"> </w:t>
            </w:r>
            <w:r w:rsidR="006C34EA" w:rsidRPr="00FE1620">
              <w:rPr>
                <w:color w:val="002060"/>
                <w:u w:val="single"/>
              </w:rPr>
              <w:t>if</w:t>
            </w:r>
            <w:r w:rsidR="006C34EA" w:rsidRPr="00FE1620">
              <w:rPr>
                <w:color w:val="002060"/>
              </w:rPr>
              <w:t xml:space="preserve"> they meet the definition of </w:t>
            </w:r>
            <w:r w:rsidR="00304D2E">
              <w:rPr>
                <w:color w:val="002060"/>
              </w:rPr>
              <w:t>Agency Worker</w:t>
            </w:r>
            <w:r w:rsidR="006C34EA" w:rsidRPr="00FE1620">
              <w:rPr>
                <w:color w:val="002060"/>
              </w:rPr>
              <w:t xml:space="preserve"> as set out in the </w:t>
            </w:r>
            <w:proofErr w:type="spellStart"/>
            <w:r w:rsidR="006C34EA" w:rsidRPr="00FE1620">
              <w:rPr>
                <w:color w:val="002060"/>
              </w:rPr>
              <w:t>AWR</w:t>
            </w:r>
            <w:proofErr w:type="spellEnd"/>
            <w:r w:rsidR="006C34EA" w:rsidRPr="00FE1620">
              <w:rPr>
                <w:color w:val="002060"/>
              </w:rPr>
              <w:t xml:space="preserve">.  This includes working under the supervision and direction of the </w:t>
            </w:r>
            <w:r w:rsidR="001E36D5" w:rsidRPr="00FE1620">
              <w:rPr>
                <w:color w:val="002060"/>
              </w:rPr>
              <w:t>c</w:t>
            </w:r>
            <w:r w:rsidR="006C34EA" w:rsidRPr="00FE1620">
              <w:rPr>
                <w:color w:val="002060"/>
              </w:rPr>
              <w:t xml:space="preserve">lient.  However, an individual is not an </w:t>
            </w:r>
            <w:r w:rsidR="00304D2E">
              <w:rPr>
                <w:color w:val="002060"/>
              </w:rPr>
              <w:t>Agency Worker</w:t>
            </w:r>
            <w:r w:rsidR="006C34EA" w:rsidRPr="00FE1620">
              <w:rPr>
                <w:color w:val="002060"/>
              </w:rPr>
              <w:t xml:space="preserve"> if they are running their own business. </w:t>
            </w:r>
          </w:p>
          <w:p w14:paraId="0FF05C7F" w14:textId="77777777" w:rsidR="006C34EA" w:rsidRPr="00FE1620" w:rsidRDefault="006C34EA" w:rsidP="001C3C6E">
            <w:pPr>
              <w:pStyle w:val="BodyText"/>
              <w:rPr>
                <w:color w:val="002060"/>
              </w:rPr>
            </w:pPr>
          </w:p>
          <w:p w14:paraId="746587A0" w14:textId="61EAE817" w:rsidR="006C34EA" w:rsidRPr="007831B9" w:rsidRDefault="006C34EA" w:rsidP="001C3C6E">
            <w:pPr>
              <w:pStyle w:val="BodyText"/>
              <w:rPr>
                <w:bCs/>
                <w:color w:val="002060"/>
              </w:rPr>
            </w:pPr>
            <w:r w:rsidRPr="00FE1620">
              <w:rPr>
                <w:color w:val="002060"/>
              </w:rPr>
              <w:t xml:space="preserve">Any individual can claim that they are an </w:t>
            </w:r>
            <w:r w:rsidR="00304D2E">
              <w:rPr>
                <w:color w:val="002060"/>
              </w:rPr>
              <w:t>Agency Worker</w:t>
            </w:r>
            <w:r w:rsidRPr="00FE1620">
              <w:rPr>
                <w:color w:val="002060"/>
              </w:rPr>
              <w:t xml:space="preserve"> for the purposes of </w:t>
            </w:r>
            <w:proofErr w:type="spellStart"/>
            <w:r w:rsidRPr="00FE1620">
              <w:rPr>
                <w:color w:val="002060"/>
              </w:rPr>
              <w:t>AWR</w:t>
            </w:r>
            <w:proofErr w:type="spellEnd"/>
            <w:r w:rsidRPr="00FE1620">
              <w:rPr>
                <w:color w:val="002060"/>
              </w:rPr>
              <w:t xml:space="preserve">.  If you are not satisfied that someone is running their own business then you should engage them either directly for PAYE purposes or via another intermediary such as an umbrella company which will employ them.  They will have </w:t>
            </w:r>
            <w:proofErr w:type="spellStart"/>
            <w:r w:rsidRPr="00FE1620">
              <w:rPr>
                <w:color w:val="002060"/>
              </w:rPr>
              <w:t>AWR</w:t>
            </w:r>
            <w:proofErr w:type="spellEnd"/>
            <w:r w:rsidRPr="00FE1620">
              <w:rPr>
                <w:color w:val="002060"/>
              </w:rPr>
              <w:t xml:space="preserve"> rights under those arrangements.  </w:t>
            </w:r>
          </w:p>
        </w:tc>
      </w:tr>
      <w:tr w:rsidR="006C34EA" w14:paraId="22F311BE" w14:textId="77777777" w:rsidTr="001C3C6E">
        <w:tc>
          <w:tcPr>
            <w:tcW w:w="1250" w:type="dxa"/>
          </w:tcPr>
          <w:p w14:paraId="51BEFA95" w14:textId="77777777" w:rsidR="006C34EA" w:rsidRPr="00661B5F" w:rsidRDefault="006C34EA" w:rsidP="00FE28C9">
            <w:pPr>
              <w:pStyle w:val="BodyText"/>
              <w:numPr>
                <w:ilvl w:val="0"/>
                <w:numId w:val="22"/>
              </w:numPr>
            </w:pPr>
          </w:p>
        </w:tc>
        <w:tc>
          <w:tcPr>
            <w:tcW w:w="2588" w:type="dxa"/>
          </w:tcPr>
          <w:p w14:paraId="5D50F037" w14:textId="77777777" w:rsidR="006C34EA" w:rsidRPr="00FE1620" w:rsidRDefault="006C34EA" w:rsidP="001C3C6E">
            <w:pPr>
              <w:pStyle w:val="BodyText"/>
            </w:pPr>
            <w:r w:rsidRPr="00FE1620">
              <w:t>1 (Definitions)</w:t>
            </w:r>
          </w:p>
          <w:p w14:paraId="26A00FA1" w14:textId="051C5F80" w:rsidR="006C34EA" w:rsidRPr="00FE1620" w:rsidRDefault="006C34EA" w:rsidP="001C3C6E">
            <w:pPr>
              <w:pStyle w:val="BodyText"/>
            </w:pPr>
            <w:r w:rsidRPr="00FE1620">
              <w:t>“Client” and “Client’s Group”</w:t>
            </w:r>
          </w:p>
        </w:tc>
        <w:tc>
          <w:tcPr>
            <w:tcW w:w="5178" w:type="dxa"/>
          </w:tcPr>
          <w:p w14:paraId="2C886C18" w14:textId="59A0FC8E" w:rsidR="006C34EA" w:rsidRPr="00FE1620" w:rsidRDefault="006C34EA" w:rsidP="001C3C6E">
            <w:pPr>
              <w:pStyle w:val="BodyText"/>
              <w:rPr>
                <w:color w:val="002060"/>
              </w:rPr>
            </w:pPr>
            <w:r w:rsidRPr="00FE1620">
              <w:rPr>
                <w:color w:val="002060"/>
              </w:rPr>
              <w:t xml:space="preserve">It is important to understand which </w:t>
            </w:r>
            <w:r w:rsidR="001A2439" w:rsidRPr="00FE1620">
              <w:rPr>
                <w:color w:val="002060"/>
              </w:rPr>
              <w:t>entities</w:t>
            </w:r>
            <w:r w:rsidRPr="00FE1620">
              <w:rPr>
                <w:color w:val="002060"/>
              </w:rPr>
              <w:t xml:space="preserve"> may belong to the Client’s Group so that the </w:t>
            </w:r>
            <w:r w:rsidR="001E36D5" w:rsidRPr="00FE1620">
              <w:rPr>
                <w:color w:val="002060"/>
              </w:rPr>
              <w:t>e</w:t>
            </w:r>
            <w:r w:rsidRPr="00FE1620">
              <w:rPr>
                <w:color w:val="002060"/>
              </w:rPr>
              <w:t xml:space="preserve">mployment </w:t>
            </w:r>
            <w:r w:rsidR="001E36D5" w:rsidRPr="00FE1620">
              <w:rPr>
                <w:color w:val="002060"/>
              </w:rPr>
              <w:t>b</w:t>
            </w:r>
            <w:r w:rsidRPr="00FE1620">
              <w:rPr>
                <w:color w:val="002060"/>
              </w:rPr>
              <w:t xml:space="preserve">usiness understands when an </w:t>
            </w:r>
            <w:r w:rsidR="00304D2E">
              <w:rPr>
                <w:color w:val="002060"/>
              </w:rPr>
              <w:t>Agency Worker</w:t>
            </w:r>
            <w:r w:rsidRPr="00FE1620">
              <w:rPr>
                <w:color w:val="002060"/>
              </w:rPr>
              <w:t xml:space="preserve"> has/has not completed the Qualifying Period because </w:t>
            </w:r>
            <w:r w:rsidR="00476DAA">
              <w:rPr>
                <w:color w:val="002060"/>
              </w:rPr>
              <w:t>they have</w:t>
            </w:r>
            <w:r w:rsidRPr="00FE1620">
              <w:rPr>
                <w:color w:val="002060"/>
              </w:rPr>
              <w:t xml:space="preserve"> worked for more than one </w:t>
            </w:r>
            <w:r w:rsidR="00AB5EB4" w:rsidRPr="00FE1620">
              <w:rPr>
                <w:color w:val="002060"/>
              </w:rPr>
              <w:t>c</w:t>
            </w:r>
            <w:r w:rsidRPr="00FE1620">
              <w:rPr>
                <w:color w:val="002060"/>
              </w:rPr>
              <w:t xml:space="preserve">lient.  </w:t>
            </w:r>
          </w:p>
          <w:p w14:paraId="08A7B036" w14:textId="77777777" w:rsidR="006C34EA" w:rsidRPr="00FE1620" w:rsidRDefault="006C34EA" w:rsidP="001C3C6E">
            <w:pPr>
              <w:pStyle w:val="BodyText"/>
              <w:rPr>
                <w:color w:val="002060"/>
              </w:rPr>
            </w:pPr>
          </w:p>
          <w:p w14:paraId="241FB2C7" w14:textId="47C90240" w:rsidR="006C34EA" w:rsidRPr="00FE1620" w:rsidRDefault="006C34EA" w:rsidP="001C3C6E">
            <w:pPr>
              <w:pStyle w:val="BodyText"/>
              <w:rPr>
                <w:color w:val="002060"/>
              </w:rPr>
            </w:pPr>
            <w:r w:rsidRPr="00FE1620">
              <w:rPr>
                <w:color w:val="002060"/>
              </w:rPr>
              <w:t xml:space="preserve">It should be relatively straightforward in the private sector to know what companies belong to a group.  </w:t>
            </w:r>
            <w:r w:rsidR="005173E8" w:rsidRPr="00FE1620">
              <w:rPr>
                <w:color w:val="002060"/>
              </w:rPr>
              <w:t>However,</w:t>
            </w:r>
            <w:r w:rsidRPr="00FE1620">
              <w:rPr>
                <w:color w:val="002060"/>
              </w:rPr>
              <w:t xml:space="preserve"> it can be less clear in the public sector.  </w:t>
            </w:r>
          </w:p>
          <w:p w14:paraId="6F1A47BE" w14:textId="77777777" w:rsidR="006C34EA" w:rsidRPr="00FE1620" w:rsidRDefault="006C34EA" w:rsidP="001C3C6E">
            <w:pPr>
              <w:pStyle w:val="BodyText"/>
              <w:rPr>
                <w:color w:val="002060"/>
              </w:rPr>
            </w:pPr>
          </w:p>
          <w:p w14:paraId="5E3F40DA" w14:textId="79FE5848" w:rsidR="006C34EA" w:rsidRPr="00FE1620" w:rsidRDefault="006C34EA" w:rsidP="001C3C6E">
            <w:pPr>
              <w:pStyle w:val="BodyText"/>
              <w:rPr>
                <w:color w:val="002060"/>
              </w:rPr>
            </w:pPr>
            <w:r w:rsidRPr="005173E8">
              <w:rPr>
                <w:b/>
                <w:bCs/>
                <w:color w:val="002060"/>
              </w:rPr>
              <w:lastRenderedPageBreak/>
              <w:t>Health sector</w:t>
            </w:r>
            <w:r w:rsidRPr="00FE1620">
              <w:rPr>
                <w:color w:val="002060"/>
              </w:rPr>
              <w:t xml:space="preserve"> </w:t>
            </w:r>
            <w:r w:rsidR="005173E8">
              <w:rPr>
                <w:rFonts w:ascii="Segoe UI" w:hAnsi="Segoe UI" w:cs="Segoe UI"/>
                <w:color w:val="002060"/>
              </w:rPr>
              <w:t>‒</w:t>
            </w:r>
            <w:r w:rsidRPr="00FE1620">
              <w:rPr>
                <w:color w:val="002060"/>
              </w:rPr>
              <w:t xml:space="preserve"> a NHS Trust which comprises different hospitals will be one </w:t>
            </w:r>
            <w:r w:rsidR="001A2439" w:rsidRPr="00FE1620">
              <w:rPr>
                <w:color w:val="002060"/>
              </w:rPr>
              <w:t>c</w:t>
            </w:r>
            <w:r w:rsidRPr="00FE1620">
              <w:rPr>
                <w:color w:val="002060"/>
              </w:rPr>
              <w:t xml:space="preserve">lient for the purposes of </w:t>
            </w:r>
            <w:proofErr w:type="spellStart"/>
            <w:r w:rsidRPr="00FE1620">
              <w:rPr>
                <w:color w:val="002060"/>
              </w:rPr>
              <w:t>AWR</w:t>
            </w:r>
            <w:proofErr w:type="spellEnd"/>
            <w:r w:rsidRPr="00FE1620">
              <w:rPr>
                <w:color w:val="002060"/>
              </w:rPr>
              <w:t xml:space="preserve">.  </w:t>
            </w:r>
            <w:r w:rsidR="005173E8" w:rsidRPr="00FE1620">
              <w:rPr>
                <w:color w:val="002060"/>
              </w:rPr>
              <w:t>So,</w:t>
            </w:r>
            <w:r w:rsidRPr="00FE1620">
              <w:rPr>
                <w:color w:val="002060"/>
              </w:rPr>
              <w:t xml:space="preserve"> time spent in different hospitals within the same trust (i.e. Client’s Group) will all count towards the same qualifying clock. </w:t>
            </w:r>
          </w:p>
          <w:p w14:paraId="3BA7DCB6" w14:textId="77777777" w:rsidR="006C34EA" w:rsidRPr="00FE1620" w:rsidRDefault="006C34EA" w:rsidP="001C3C6E">
            <w:pPr>
              <w:pStyle w:val="BodyText"/>
              <w:rPr>
                <w:color w:val="002060"/>
              </w:rPr>
            </w:pPr>
          </w:p>
          <w:p w14:paraId="658463BC" w14:textId="1E364795" w:rsidR="006C34EA" w:rsidRPr="00FE1620" w:rsidRDefault="006C34EA" w:rsidP="001C3C6E">
            <w:pPr>
              <w:pStyle w:val="BodyText"/>
              <w:rPr>
                <w:color w:val="002060"/>
              </w:rPr>
            </w:pPr>
            <w:r w:rsidRPr="005173E8">
              <w:rPr>
                <w:b/>
                <w:bCs/>
                <w:color w:val="002060"/>
              </w:rPr>
              <w:t>Education</w:t>
            </w:r>
            <w:r w:rsidRPr="00FE1620">
              <w:rPr>
                <w:color w:val="002060"/>
              </w:rPr>
              <w:t xml:space="preserve"> </w:t>
            </w:r>
            <w:r w:rsidR="007831B9">
              <w:rPr>
                <w:rFonts w:ascii="Segoe UI" w:hAnsi="Segoe UI" w:cs="Segoe UI"/>
                <w:color w:val="002060"/>
              </w:rPr>
              <w:t>‒</w:t>
            </w:r>
            <w:r w:rsidRPr="00FE1620">
              <w:rPr>
                <w:color w:val="002060"/>
              </w:rPr>
              <w:t xml:space="preserve"> the Client/ Client’s group will be determined by the type of school the </w:t>
            </w:r>
            <w:r w:rsidR="00304D2E">
              <w:rPr>
                <w:color w:val="002060"/>
              </w:rPr>
              <w:t>Agency Worker</w:t>
            </w:r>
            <w:r w:rsidRPr="00FE1620">
              <w:rPr>
                <w:color w:val="002060"/>
              </w:rPr>
              <w:t xml:space="preserve"> is supplied to.  For example, time spent in more than one school within the same local authority will count towards the same qualifying clock. The same applies for academy trusts. For more details on the application of the </w:t>
            </w:r>
            <w:proofErr w:type="spellStart"/>
            <w:r w:rsidRPr="00FE1620">
              <w:rPr>
                <w:color w:val="002060"/>
              </w:rPr>
              <w:t>AWR</w:t>
            </w:r>
            <w:proofErr w:type="spellEnd"/>
            <w:r w:rsidRPr="00FE1620">
              <w:rPr>
                <w:color w:val="002060"/>
              </w:rPr>
              <w:t xml:space="preserve"> within education please see</w:t>
            </w:r>
            <w:r w:rsidRPr="00676728">
              <w:rPr>
                <w:color w:val="002060"/>
              </w:rPr>
              <w:t xml:space="preserve"> </w:t>
            </w:r>
            <w:hyperlink r:id="rId24" w:history="1">
              <w:proofErr w:type="spellStart"/>
              <w:r w:rsidRPr="00B96D36">
                <w:rPr>
                  <w:rStyle w:val="Hyperlink"/>
                  <w:color w:val="36BEAE" w:themeColor="text2"/>
                </w:rPr>
                <w:t>DFE’s</w:t>
              </w:r>
              <w:proofErr w:type="spellEnd"/>
              <w:r w:rsidRPr="00B96D36">
                <w:rPr>
                  <w:rStyle w:val="Hyperlink"/>
                  <w:color w:val="36BEAE" w:themeColor="text2"/>
                </w:rPr>
                <w:t xml:space="preserve"> </w:t>
              </w:r>
              <w:proofErr w:type="spellStart"/>
              <w:r w:rsidRPr="00B96D36">
                <w:rPr>
                  <w:rStyle w:val="Hyperlink"/>
                  <w:color w:val="36BEAE" w:themeColor="text2"/>
                </w:rPr>
                <w:t>AWR</w:t>
              </w:r>
              <w:proofErr w:type="spellEnd"/>
              <w:r w:rsidRPr="00B96D36">
                <w:rPr>
                  <w:rStyle w:val="Hyperlink"/>
                  <w:color w:val="36BEAE" w:themeColor="text2"/>
                </w:rPr>
                <w:t xml:space="preserve"> 2010: supply teachers guidance</w:t>
              </w:r>
            </w:hyperlink>
            <w:r w:rsidRPr="00676728">
              <w:rPr>
                <w:color w:val="002060"/>
              </w:rPr>
              <w:t xml:space="preserve">. </w:t>
            </w:r>
          </w:p>
        </w:tc>
      </w:tr>
      <w:tr w:rsidR="006C34EA" w14:paraId="02538022" w14:textId="77777777" w:rsidTr="001C3C6E">
        <w:tc>
          <w:tcPr>
            <w:tcW w:w="1250" w:type="dxa"/>
          </w:tcPr>
          <w:p w14:paraId="093567C0" w14:textId="77777777" w:rsidR="006C34EA" w:rsidRPr="00661B5F" w:rsidRDefault="006C34EA" w:rsidP="00FE28C9">
            <w:pPr>
              <w:pStyle w:val="BodyText"/>
              <w:numPr>
                <w:ilvl w:val="0"/>
                <w:numId w:val="22"/>
              </w:numPr>
            </w:pPr>
          </w:p>
        </w:tc>
        <w:tc>
          <w:tcPr>
            <w:tcW w:w="2588" w:type="dxa"/>
          </w:tcPr>
          <w:p w14:paraId="56A79B64" w14:textId="77777777" w:rsidR="006C34EA" w:rsidRPr="00FE1620" w:rsidRDefault="006C34EA" w:rsidP="001C3C6E">
            <w:pPr>
              <w:pStyle w:val="BodyText"/>
            </w:pPr>
            <w:r w:rsidRPr="00FE1620">
              <w:t xml:space="preserve">1 (Definitions) </w:t>
            </w:r>
          </w:p>
          <w:p w14:paraId="77011CD9" w14:textId="77777777" w:rsidR="006C34EA" w:rsidRPr="00FE1620" w:rsidRDefault="006C34EA" w:rsidP="001C3C6E">
            <w:pPr>
              <w:pStyle w:val="BodyText"/>
            </w:pPr>
          </w:p>
          <w:p w14:paraId="00BCA2A7" w14:textId="77777777" w:rsidR="006C34EA" w:rsidRPr="00FE1620" w:rsidRDefault="006C34EA" w:rsidP="001C3C6E">
            <w:pPr>
              <w:pStyle w:val="BodyText"/>
            </w:pPr>
            <w:r w:rsidRPr="00FE1620">
              <w:t xml:space="preserve">“Commencement Date) </w:t>
            </w:r>
          </w:p>
          <w:p w14:paraId="5FB890D8" w14:textId="77777777" w:rsidR="006C34EA" w:rsidRPr="00FE1620" w:rsidRDefault="006C34EA" w:rsidP="001C3C6E">
            <w:pPr>
              <w:pStyle w:val="BodyText"/>
            </w:pPr>
          </w:p>
          <w:p w14:paraId="60D9E1AD" w14:textId="06373967" w:rsidR="006C34EA" w:rsidRPr="00FE1620" w:rsidRDefault="006C34EA" w:rsidP="001C3C6E">
            <w:pPr>
              <w:pStyle w:val="BodyText"/>
            </w:pPr>
            <w:r w:rsidRPr="00FE1620">
              <w:t>“</w:t>
            </w:r>
            <w:r w:rsidR="00E3492A">
              <w:t>Exclusivity Period</w:t>
            </w:r>
            <w:r w:rsidRPr="00FE1620">
              <w:t>”</w:t>
            </w:r>
          </w:p>
        </w:tc>
        <w:tc>
          <w:tcPr>
            <w:tcW w:w="5178" w:type="dxa"/>
          </w:tcPr>
          <w:p w14:paraId="21B39B24" w14:textId="10EAC95F" w:rsidR="006C34EA" w:rsidRPr="00FE1620" w:rsidRDefault="001A2439" w:rsidP="001C3C6E">
            <w:pPr>
              <w:pStyle w:val="BodyText"/>
              <w:rPr>
                <w:color w:val="002060"/>
              </w:rPr>
            </w:pPr>
            <w:r w:rsidRPr="00FE1620">
              <w:rPr>
                <w:color w:val="002060"/>
              </w:rPr>
              <w:t>Only use these definitions and clause 2.</w:t>
            </w:r>
            <w:r w:rsidR="00B06705">
              <w:rPr>
                <w:color w:val="002060"/>
              </w:rPr>
              <w:t>7</w:t>
            </w:r>
            <w:r w:rsidRPr="00FE1620">
              <w:rPr>
                <w:color w:val="002060"/>
              </w:rPr>
              <w:t xml:space="preserve"> if you agree an exclusivity arrangement with the client. If you do not have an exclusivity arrangement, then </w:t>
            </w:r>
            <w:r w:rsidR="006C34EA" w:rsidRPr="00FE1620">
              <w:rPr>
                <w:color w:val="002060"/>
              </w:rPr>
              <w:t>delete the definitions of both “Commencement Date” and “</w:t>
            </w:r>
            <w:r w:rsidR="00E3492A">
              <w:rPr>
                <w:color w:val="002060"/>
              </w:rPr>
              <w:t>Exclusivity Period</w:t>
            </w:r>
            <w:r w:rsidR="006C34EA" w:rsidRPr="00FE1620">
              <w:rPr>
                <w:color w:val="002060"/>
              </w:rPr>
              <w:t xml:space="preserve">” </w:t>
            </w:r>
            <w:r w:rsidRPr="00FE1620">
              <w:rPr>
                <w:color w:val="002060"/>
              </w:rPr>
              <w:t>and clause 2.</w:t>
            </w:r>
            <w:r w:rsidR="00B06705">
              <w:rPr>
                <w:color w:val="002060"/>
              </w:rPr>
              <w:t>7</w:t>
            </w:r>
            <w:r w:rsidRPr="00FE1620">
              <w:rPr>
                <w:color w:val="002060"/>
              </w:rPr>
              <w:t xml:space="preserve"> </w:t>
            </w:r>
            <w:r w:rsidR="006C34EA" w:rsidRPr="00FE1620">
              <w:rPr>
                <w:color w:val="002060"/>
              </w:rPr>
              <w:t>from the contract.</w:t>
            </w:r>
          </w:p>
        </w:tc>
      </w:tr>
      <w:tr w:rsidR="00A524BF" w14:paraId="6BB4531D" w14:textId="77777777" w:rsidTr="001C3C6E">
        <w:tc>
          <w:tcPr>
            <w:tcW w:w="1250" w:type="dxa"/>
          </w:tcPr>
          <w:p w14:paraId="1F5C64F5" w14:textId="77777777" w:rsidR="00A524BF" w:rsidRPr="00661B5F" w:rsidRDefault="00A524BF" w:rsidP="00FE28C9">
            <w:pPr>
              <w:pStyle w:val="BodyText"/>
              <w:numPr>
                <w:ilvl w:val="0"/>
                <w:numId w:val="22"/>
              </w:numPr>
            </w:pPr>
          </w:p>
        </w:tc>
        <w:tc>
          <w:tcPr>
            <w:tcW w:w="2588" w:type="dxa"/>
          </w:tcPr>
          <w:p w14:paraId="0A0CED54" w14:textId="77777777" w:rsidR="00A524BF" w:rsidRPr="005173E8" w:rsidRDefault="00A524BF" w:rsidP="001C3C6E">
            <w:pPr>
              <w:pStyle w:val="BodyText"/>
              <w:rPr>
                <w:iCs/>
              </w:rPr>
            </w:pPr>
            <w:r w:rsidRPr="005173E8">
              <w:rPr>
                <w:iCs/>
              </w:rPr>
              <w:t xml:space="preserve">1 (Definitions) </w:t>
            </w:r>
          </w:p>
          <w:p w14:paraId="2CF971FA" w14:textId="77777777" w:rsidR="00A524BF" w:rsidRPr="005173E8" w:rsidRDefault="00A524BF" w:rsidP="001C3C6E">
            <w:pPr>
              <w:pStyle w:val="BodyText"/>
              <w:rPr>
                <w:iCs/>
              </w:rPr>
            </w:pPr>
            <w:r w:rsidRPr="005173E8">
              <w:rPr>
                <w:iCs/>
              </w:rPr>
              <w:t>“Comparable Employee”</w:t>
            </w:r>
          </w:p>
          <w:p w14:paraId="3699D136" w14:textId="77777777" w:rsidR="00A524BF" w:rsidRPr="00FE1620" w:rsidRDefault="00A524BF" w:rsidP="001C3C6E">
            <w:pPr>
              <w:pStyle w:val="BodyText"/>
            </w:pPr>
          </w:p>
        </w:tc>
        <w:tc>
          <w:tcPr>
            <w:tcW w:w="5178" w:type="dxa"/>
          </w:tcPr>
          <w:p w14:paraId="78966214" w14:textId="4F2447D5" w:rsidR="00A524BF" w:rsidRPr="00FE1620" w:rsidRDefault="001A2439" w:rsidP="001C3C6E">
            <w:pPr>
              <w:pStyle w:val="BodyText"/>
              <w:rPr>
                <w:color w:val="002060"/>
              </w:rPr>
            </w:pPr>
            <w:r w:rsidRPr="00FE1620">
              <w:rPr>
                <w:color w:val="002060"/>
              </w:rPr>
              <w:t xml:space="preserve">Comparable Employee is </w:t>
            </w:r>
            <w:r w:rsidR="00A524BF" w:rsidRPr="00FE1620">
              <w:rPr>
                <w:color w:val="002060"/>
              </w:rPr>
              <w:t xml:space="preserve">defined in Regulation 5(4) of the </w:t>
            </w:r>
            <w:proofErr w:type="spellStart"/>
            <w:r w:rsidR="00A524BF" w:rsidRPr="00FE1620">
              <w:rPr>
                <w:color w:val="002060"/>
              </w:rPr>
              <w:t>AWR</w:t>
            </w:r>
            <w:proofErr w:type="spellEnd"/>
            <w:r w:rsidRPr="00FE1620">
              <w:rPr>
                <w:color w:val="002060"/>
              </w:rPr>
              <w:t xml:space="preserve">.  </w:t>
            </w:r>
            <w:r w:rsidR="00476DAA">
              <w:rPr>
                <w:color w:val="002060"/>
              </w:rPr>
              <w:t xml:space="preserve">They are </w:t>
            </w:r>
            <w:r w:rsidR="00A524BF" w:rsidRPr="00FE1620">
              <w:rPr>
                <w:color w:val="002060"/>
              </w:rPr>
              <w:t>an employee of the Client who:</w:t>
            </w:r>
          </w:p>
          <w:p w14:paraId="3C3D8670" w14:textId="2AE0801A" w:rsidR="00A524BF" w:rsidRPr="00FE1620" w:rsidRDefault="00A524BF" w:rsidP="00B82BFF">
            <w:pPr>
              <w:pStyle w:val="BodyText"/>
              <w:numPr>
                <w:ilvl w:val="0"/>
                <w:numId w:val="38"/>
              </w:numPr>
              <w:rPr>
                <w:color w:val="002060"/>
              </w:rPr>
            </w:pPr>
            <w:r w:rsidRPr="00FE1620">
              <w:rPr>
                <w:color w:val="002060"/>
              </w:rPr>
              <w:t xml:space="preserve">works for and under the supervision of the Client and is engaged in the same or broadly similar work as the </w:t>
            </w:r>
            <w:r w:rsidR="00304D2E">
              <w:rPr>
                <w:color w:val="002060"/>
              </w:rPr>
              <w:t>Agency Worker</w:t>
            </w:r>
            <w:r w:rsidRPr="00FE1620">
              <w:rPr>
                <w:color w:val="002060"/>
              </w:rPr>
              <w:t xml:space="preserve"> having regard</w:t>
            </w:r>
            <w:r w:rsidR="00B82BFF">
              <w:rPr>
                <w:color w:val="002060"/>
              </w:rPr>
              <w:t xml:space="preserve"> </w:t>
            </w:r>
            <w:r w:rsidRPr="00FE1620">
              <w:rPr>
                <w:color w:val="002060"/>
              </w:rPr>
              <w:t xml:space="preserve">to whether the employee and the </w:t>
            </w:r>
            <w:r w:rsidR="00304D2E">
              <w:rPr>
                <w:color w:val="002060"/>
              </w:rPr>
              <w:t>Agency Worker</w:t>
            </w:r>
            <w:r w:rsidRPr="00FE1620">
              <w:rPr>
                <w:color w:val="002060"/>
              </w:rPr>
              <w:t xml:space="preserve"> have a similar level of qualification and skills; and</w:t>
            </w:r>
          </w:p>
          <w:p w14:paraId="45FBE606" w14:textId="1ABD19B7" w:rsidR="00A524BF" w:rsidRPr="00FE1620" w:rsidRDefault="00A524BF" w:rsidP="00B82BFF">
            <w:pPr>
              <w:pStyle w:val="BodyText"/>
              <w:numPr>
                <w:ilvl w:val="0"/>
                <w:numId w:val="38"/>
              </w:numPr>
              <w:rPr>
                <w:color w:val="002060"/>
              </w:rPr>
            </w:pPr>
            <w:r w:rsidRPr="00FE1620">
              <w:rPr>
                <w:color w:val="002060"/>
              </w:rPr>
              <w:t xml:space="preserve">works or is based at the same establishment as the </w:t>
            </w:r>
            <w:r w:rsidR="00304D2E">
              <w:rPr>
                <w:color w:val="002060"/>
              </w:rPr>
              <w:t>Agency Worker</w:t>
            </w:r>
            <w:r w:rsidRPr="00FE1620">
              <w:rPr>
                <w:color w:val="002060"/>
              </w:rPr>
              <w:t xml:space="preserve"> or, where there is no comparable employee working or based at that establishment who satisfies the requirements of (a) above, works or is based at a different establishment and satisfies those requirements. </w:t>
            </w:r>
          </w:p>
        </w:tc>
      </w:tr>
      <w:tr w:rsidR="00A524BF" w14:paraId="2AE84AB7" w14:textId="77777777" w:rsidTr="001C3C6E">
        <w:tc>
          <w:tcPr>
            <w:tcW w:w="1250" w:type="dxa"/>
          </w:tcPr>
          <w:p w14:paraId="7454EC85" w14:textId="77777777" w:rsidR="00A524BF" w:rsidRPr="00661B5F" w:rsidRDefault="00A524BF" w:rsidP="00FE28C9">
            <w:pPr>
              <w:pStyle w:val="BodyText"/>
              <w:numPr>
                <w:ilvl w:val="0"/>
                <w:numId w:val="22"/>
              </w:numPr>
            </w:pPr>
          </w:p>
        </w:tc>
        <w:tc>
          <w:tcPr>
            <w:tcW w:w="2588" w:type="dxa"/>
          </w:tcPr>
          <w:p w14:paraId="0B2D73BD" w14:textId="77777777" w:rsidR="00A524BF" w:rsidRPr="00FE1620" w:rsidRDefault="00A524BF" w:rsidP="001C3C6E">
            <w:pPr>
              <w:pStyle w:val="BodyText"/>
              <w:rPr>
                <w:bCs/>
              </w:rPr>
            </w:pPr>
            <w:r w:rsidRPr="00FE1620">
              <w:rPr>
                <w:bCs/>
              </w:rPr>
              <w:t xml:space="preserve">1 (Definitions) </w:t>
            </w:r>
          </w:p>
          <w:p w14:paraId="69BDD154" w14:textId="210234B3" w:rsidR="00A524BF" w:rsidRDefault="00A524BF" w:rsidP="001C3C6E">
            <w:pPr>
              <w:pStyle w:val="BodyText"/>
              <w:rPr>
                <w:bCs/>
              </w:rPr>
            </w:pPr>
            <w:r w:rsidRPr="00FE1620">
              <w:rPr>
                <w:bCs/>
              </w:rPr>
              <w:t>“Conduct Regulations”</w:t>
            </w:r>
          </w:p>
          <w:p w14:paraId="6CAC7464" w14:textId="2EFA1777" w:rsidR="00AC7571" w:rsidRDefault="00AC7571" w:rsidP="001C3C6E">
            <w:pPr>
              <w:pStyle w:val="BodyText"/>
              <w:rPr>
                <w:bCs/>
              </w:rPr>
            </w:pPr>
          </w:p>
          <w:p w14:paraId="4B6302E0" w14:textId="68ABBD26" w:rsidR="00AC7571" w:rsidRPr="00FE1620" w:rsidRDefault="00AC7571" w:rsidP="001C3C6E">
            <w:pPr>
              <w:pStyle w:val="BodyText"/>
              <w:rPr>
                <w:bCs/>
              </w:rPr>
            </w:pPr>
            <w:r>
              <w:rPr>
                <w:bCs/>
              </w:rPr>
              <w:t>2.4.2 (The Agreement)</w:t>
            </w:r>
          </w:p>
          <w:p w14:paraId="7902AB91" w14:textId="77777777" w:rsidR="00A524BF" w:rsidRPr="00FE1620" w:rsidRDefault="00A524BF" w:rsidP="001C3C6E">
            <w:pPr>
              <w:pStyle w:val="BodyText"/>
            </w:pPr>
          </w:p>
        </w:tc>
        <w:tc>
          <w:tcPr>
            <w:tcW w:w="5178" w:type="dxa"/>
          </w:tcPr>
          <w:p w14:paraId="32148225" w14:textId="77777777" w:rsidR="00A524BF" w:rsidRPr="0015488F" w:rsidRDefault="00A524BF" w:rsidP="001C3C6E">
            <w:pPr>
              <w:pStyle w:val="BodyText"/>
              <w:rPr>
                <w:iCs/>
                <w:color w:val="002060"/>
              </w:rPr>
            </w:pPr>
            <w:r w:rsidRPr="0015488F">
              <w:rPr>
                <w:iCs/>
                <w:color w:val="002060"/>
              </w:rPr>
              <w:t xml:space="preserve">The Conduct of Employment Agencies and Employment Businesses Regulations 2003 apply in England, Scotland and Wales. If supplying in England, Scotland and Wales only delete the text in square brackets. </w:t>
            </w:r>
          </w:p>
          <w:p w14:paraId="57D19E3B" w14:textId="77777777" w:rsidR="00A524BF" w:rsidRPr="0015488F" w:rsidRDefault="00A524BF" w:rsidP="001C3C6E">
            <w:pPr>
              <w:pStyle w:val="BodyText"/>
              <w:rPr>
                <w:iCs/>
                <w:color w:val="002060"/>
              </w:rPr>
            </w:pPr>
          </w:p>
          <w:p w14:paraId="1FB020A4" w14:textId="77777777" w:rsidR="00A524BF" w:rsidRPr="0015488F" w:rsidRDefault="00A524BF" w:rsidP="001C3C6E">
            <w:pPr>
              <w:pStyle w:val="BodyText"/>
              <w:rPr>
                <w:iCs/>
                <w:color w:val="002060"/>
              </w:rPr>
            </w:pPr>
            <w:r w:rsidRPr="0015488F">
              <w:rPr>
                <w:iCs/>
                <w:color w:val="002060"/>
              </w:rPr>
              <w:t xml:space="preserve">The Conduct of Employment Agencies and Employment Businesses Regulations (Northern Ireland) 2005 apply in Northern Ireland. </w:t>
            </w:r>
          </w:p>
          <w:p w14:paraId="42E0F9F0" w14:textId="77777777" w:rsidR="00A524BF" w:rsidRPr="0015488F" w:rsidRDefault="00A524BF" w:rsidP="001C3C6E">
            <w:pPr>
              <w:pStyle w:val="BodyText"/>
              <w:rPr>
                <w:iCs/>
                <w:color w:val="002060"/>
              </w:rPr>
            </w:pPr>
          </w:p>
          <w:p w14:paraId="4BE1352B" w14:textId="6A54C8B2" w:rsidR="00A524BF" w:rsidRPr="0015488F" w:rsidRDefault="00A524BF" w:rsidP="001C3C6E">
            <w:pPr>
              <w:pStyle w:val="BodyText"/>
              <w:rPr>
                <w:iCs/>
                <w:color w:val="002060"/>
              </w:rPr>
            </w:pPr>
            <w:r w:rsidRPr="0015488F">
              <w:rPr>
                <w:iCs/>
                <w:color w:val="002060"/>
              </w:rPr>
              <w:t>If supplying in Northern Ireland only delete the reference to the Conduct of Employment Agencies and Employment Businesses Regulations 2003 and remove “[and/or</w:t>
            </w:r>
            <w:r w:rsidR="00B04FF8">
              <w:rPr>
                <w:iCs/>
                <w:color w:val="002060"/>
              </w:rPr>
              <w:t>]".</w:t>
            </w:r>
            <w:r w:rsidRPr="0015488F">
              <w:rPr>
                <w:iCs/>
                <w:color w:val="002060"/>
              </w:rPr>
              <w:t xml:space="preserve"> </w:t>
            </w:r>
          </w:p>
          <w:p w14:paraId="19C18951" w14:textId="77777777" w:rsidR="00A524BF" w:rsidRPr="0015488F" w:rsidRDefault="00A524BF" w:rsidP="001C3C6E">
            <w:pPr>
              <w:pStyle w:val="BodyText"/>
              <w:rPr>
                <w:iCs/>
                <w:color w:val="002060"/>
              </w:rPr>
            </w:pPr>
          </w:p>
          <w:p w14:paraId="30BDA1F9" w14:textId="77777777" w:rsidR="00A524BF" w:rsidRPr="0015488F" w:rsidRDefault="00A524BF" w:rsidP="001C3C6E">
            <w:pPr>
              <w:pStyle w:val="BodyText"/>
              <w:rPr>
                <w:iCs/>
                <w:color w:val="002060"/>
              </w:rPr>
            </w:pPr>
            <w:r w:rsidRPr="0015488F">
              <w:rPr>
                <w:iCs/>
                <w:color w:val="002060"/>
              </w:rPr>
              <w:t>If supplying in all of England, Scotland, Wales and Northern Ireland keep references to both sets of regulations and delete the square brackets only.</w:t>
            </w:r>
          </w:p>
          <w:p w14:paraId="75FB941D" w14:textId="77777777" w:rsidR="00A524BF" w:rsidRPr="00FE1620" w:rsidRDefault="00A524BF" w:rsidP="001C3C6E">
            <w:pPr>
              <w:pStyle w:val="BodyText"/>
              <w:rPr>
                <w:color w:val="002060"/>
              </w:rPr>
            </w:pPr>
          </w:p>
          <w:p w14:paraId="4F6E0163" w14:textId="77777777" w:rsidR="00A524BF" w:rsidRPr="005173E8" w:rsidRDefault="00A524BF" w:rsidP="001C3C6E">
            <w:pPr>
              <w:pStyle w:val="BodyText"/>
              <w:rPr>
                <w:b/>
                <w:bCs/>
                <w:color w:val="002060"/>
              </w:rPr>
            </w:pPr>
            <w:r w:rsidRPr="005173E8">
              <w:rPr>
                <w:b/>
                <w:bCs/>
                <w:color w:val="002060"/>
              </w:rPr>
              <w:t xml:space="preserve">Opting out of the Conduct Regulations: </w:t>
            </w:r>
          </w:p>
          <w:p w14:paraId="4A381FAF" w14:textId="377187FD" w:rsidR="00A524BF" w:rsidRPr="00FE1620" w:rsidRDefault="009669FB" w:rsidP="001C3C6E">
            <w:pPr>
              <w:pStyle w:val="BodyText"/>
              <w:rPr>
                <w:bCs/>
                <w:color w:val="002060"/>
              </w:rPr>
            </w:pPr>
            <w:r>
              <w:rPr>
                <w:color w:val="002060"/>
              </w:rPr>
              <w:t>T</w:t>
            </w:r>
            <w:r w:rsidR="00A524BF" w:rsidRPr="00FE1620">
              <w:rPr>
                <w:color w:val="002060"/>
              </w:rPr>
              <w:t xml:space="preserve">he Conduct Regulations apply by default </w:t>
            </w:r>
            <w:r w:rsidR="00A524BF" w:rsidRPr="00FE1620">
              <w:rPr>
                <w:color w:val="002060"/>
                <w:u w:val="single"/>
              </w:rPr>
              <w:t>unless</w:t>
            </w:r>
            <w:r w:rsidR="00A524BF" w:rsidRPr="00FE1620">
              <w:rPr>
                <w:color w:val="002060"/>
              </w:rPr>
              <w:t xml:space="preserve"> a </w:t>
            </w:r>
            <w:r w:rsidR="001A2439" w:rsidRPr="00FE1620">
              <w:rPr>
                <w:color w:val="002060"/>
              </w:rPr>
              <w:t>work</w:t>
            </w:r>
            <w:r w:rsidR="005173E8">
              <w:rPr>
                <w:color w:val="002060"/>
              </w:rPr>
              <w:t xml:space="preserve"> </w:t>
            </w:r>
            <w:r w:rsidR="001A2439" w:rsidRPr="00FE1620">
              <w:rPr>
                <w:color w:val="002060"/>
              </w:rPr>
              <w:t xml:space="preserve">seeker </w:t>
            </w:r>
            <w:r w:rsidR="00A524BF" w:rsidRPr="00FE1620">
              <w:rPr>
                <w:color w:val="002060"/>
              </w:rPr>
              <w:t>opt</w:t>
            </w:r>
            <w:r w:rsidR="001A2439" w:rsidRPr="00FE1620">
              <w:rPr>
                <w:color w:val="002060"/>
              </w:rPr>
              <w:t>s</w:t>
            </w:r>
            <w:r w:rsidR="00A524BF" w:rsidRPr="00FE1620">
              <w:rPr>
                <w:color w:val="002060"/>
              </w:rPr>
              <w:t xml:space="preserve"> out of the Conduct Regulations. </w:t>
            </w:r>
            <w:r w:rsidR="001A2439" w:rsidRPr="00FE1620">
              <w:rPr>
                <w:color w:val="002060"/>
              </w:rPr>
              <w:t>A work</w:t>
            </w:r>
            <w:r w:rsidR="005173E8">
              <w:rPr>
                <w:color w:val="002060"/>
              </w:rPr>
              <w:t xml:space="preserve"> </w:t>
            </w:r>
            <w:r w:rsidR="001A2439" w:rsidRPr="00FE1620">
              <w:rPr>
                <w:color w:val="002060"/>
              </w:rPr>
              <w:t xml:space="preserve">seeker </w:t>
            </w:r>
            <w:r w:rsidR="00A524BF" w:rsidRPr="00FE1620">
              <w:rPr>
                <w:color w:val="002060"/>
              </w:rPr>
              <w:t xml:space="preserve">can opt out provided: </w:t>
            </w:r>
          </w:p>
          <w:p w14:paraId="04E7EA8B" w14:textId="5A5BBA57" w:rsidR="001A2439" w:rsidRPr="00FE1620" w:rsidRDefault="001A2439" w:rsidP="00AD2A57">
            <w:pPr>
              <w:pStyle w:val="BodyText"/>
              <w:numPr>
                <w:ilvl w:val="0"/>
                <w:numId w:val="39"/>
              </w:numPr>
              <w:rPr>
                <w:bCs/>
                <w:color w:val="002060"/>
              </w:rPr>
            </w:pPr>
            <w:r w:rsidRPr="00FE1620">
              <w:rPr>
                <w:color w:val="002060"/>
              </w:rPr>
              <w:t>They work through a limited com</w:t>
            </w:r>
            <w:r w:rsidR="00EB5773">
              <w:rPr>
                <w:color w:val="002060"/>
              </w:rPr>
              <w:t>pan</w:t>
            </w:r>
            <w:r w:rsidRPr="00FE1620">
              <w:rPr>
                <w:color w:val="002060"/>
              </w:rPr>
              <w:t xml:space="preserve">y such as their own personal service company or an umbrella company. </w:t>
            </w:r>
          </w:p>
          <w:p w14:paraId="332B1189" w14:textId="5921B6AE" w:rsidR="001A2439" w:rsidRPr="00FE1620" w:rsidRDefault="00EA12AD" w:rsidP="00AD2A57">
            <w:pPr>
              <w:pStyle w:val="BodyText"/>
              <w:numPr>
                <w:ilvl w:val="0"/>
                <w:numId w:val="39"/>
              </w:numPr>
              <w:rPr>
                <w:bCs/>
                <w:color w:val="002060"/>
              </w:rPr>
            </w:pPr>
            <w:r>
              <w:rPr>
                <w:color w:val="002060"/>
              </w:rPr>
              <w:t>But t</w:t>
            </w:r>
            <w:r w:rsidR="001A2439" w:rsidRPr="00FE1620">
              <w:rPr>
                <w:color w:val="002060"/>
              </w:rPr>
              <w:t>hey</w:t>
            </w:r>
            <w:r w:rsidR="009669FB">
              <w:rPr>
                <w:color w:val="002060"/>
              </w:rPr>
              <w:t xml:space="preserve"> must</w:t>
            </w:r>
            <w:r w:rsidR="001A2439" w:rsidRPr="00FE1620">
              <w:rPr>
                <w:color w:val="002060"/>
              </w:rPr>
              <w:t xml:space="preserve"> not work with vulnerable people (e.g. in healthcare or education). </w:t>
            </w:r>
          </w:p>
          <w:p w14:paraId="5D2B7DEA" w14:textId="77777777" w:rsidR="001A2439" w:rsidRPr="00FE1620" w:rsidRDefault="001A2439" w:rsidP="001C3C6E">
            <w:pPr>
              <w:pStyle w:val="BodyText"/>
              <w:rPr>
                <w:color w:val="002060"/>
              </w:rPr>
            </w:pPr>
          </w:p>
          <w:p w14:paraId="66246BEA" w14:textId="3A3F60B4" w:rsidR="00A524BF" w:rsidRPr="00FE1620" w:rsidRDefault="00A524BF" w:rsidP="001C3C6E">
            <w:pPr>
              <w:pStyle w:val="BodyText"/>
              <w:rPr>
                <w:bCs/>
                <w:color w:val="002060"/>
              </w:rPr>
            </w:pPr>
            <w:r w:rsidRPr="00FE1620">
              <w:rPr>
                <w:color w:val="002060"/>
              </w:rPr>
              <w:t xml:space="preserve">They </w:t>
            </w:r>
            <w:r w:rsidR="001A2439" w:rsidRPr="00FE1620">
              <w:rPr>
                <w:color w:val="002060"/>
              </w:rPr>
              <w:t xml:space="preserve">must </w:t>
            </w:r>
            <w:r w:rsidRPr="00FE1620">
              <w:rPr>
                <w:color w:val="002060"/>
              </w:rPr>
              <w:t xml:space="preserve">give </w:t>
            </w:r>
            <w:r w:rsidR="001A2439" w:rsidRPr="00FE1620">
              <w:rPr>
                <w:color w:val="002060"/>
              </w:rPr>
              <w:t xml:space="preserve">the </w:t>
            </w:r>
            <w:r w:rsidRPr="00FE1620">
              <w:rPr>
                <w:color w:val="002060"/>
              </w:rPr>
              <w:t>opt out before the start of an assignment otherwise the opt out will not apply until the next assignment starts</w:t>
            </w:r>
            <w:r w:rsidR="001A2439" w:rsidRPr="00FE1620">
              <w:rPr>
                <w:color w:val="002060"/>
              </w:rPr>
              <w:t>.  The opt out must be signed by b</w:t>
            </w:r>
            <w:r w:rsidR="00AB5EB4" w:rsidRPr="00FE1620">
              <w:rPr>
                <w:color w:val="002060"/>
              </w:rPr>
              <w:t>o</w:t>
            </w:r>
            <w:r w:rsidR="001A2439" w:rsidRPr="00FE1620">
              <w:rPr>
                <w:color w:val="002060"/>
              </w:rPr>
              <w:t xml:space="preserve">th the individual and the limited </w:t>
            </w:r>
            <w:r w:rsidR="00AB5EB4" w:rsidRPr="00FE1620">
              <w:rPr>
                <w:color w:val="002060"/>
              </w:rPr>
              <w:t>c</w:t>
            </w:r>
            <w:r w:rsidR="001A2439" w:rsidRPr="00FE1620">
              <w:rPr>
                <w:color w:val="002060"/>
              </w:rPr>
              <w:t xml:space="preserve">ompany they work through. </w:t>
            </w:r>
          </w:p>
          <w:p w14:paraId="082F5EB9" w14:textId="77777777" w:rsidR="00A524BF" w:rsidRPr="00FE1620" w:rsidRDefault="00A524BF" w:rsidP="001C3C6E">
            <w:pPr>
              <w:pStyle w:val="BodyText"/>
              <w:rPr>
                <w:bCs/>
                <w:color w:val="002060"/>
              </w:rPr>
            </w:pPr>
          </w:p>
          <w:p w14:paraId="33A9AAF0" w14:textId="26EE6A9E" w:rsidR="00A524BF" w:rsidRDefault="00A524BF" w:rsidP="001C3C6E">
            <w:pPr>
              <w:pStyle w:val="BodyText"/>
              <w:rPr>
                <w:color w:val="002060"/>
              </w:rPr>
            </w:pPr>
            <w:r w:rsidRPr="00FE1620">
              <w:rPr>
                <w:color w:val="002060"/>
              </w:rPr>
              <w:t>If a valid opt out is given</w:t>
            </w:r>
            <w:r w:rsidR="00EA12AD">
              <w:rPr>
                <w:color w:val="002060"/>
              </w:rPr>
              <w:t>,</w:t>
            </w:r>
            <w:r w:rsidRPr="00FE1620">
              <w:rPr>
                <w:color w:val="002060"/>
              </w:rPr>
              <w:t xml:space="preserve"> the Conduct Regulations do not apply </w:t>
            </w:r>
            <w:r w:rsidR="00AD2A57">
              <w:rPr>
                <w:color w:val="002060"/>
              </w:rPr>
              <w:t>t</w:t>
            </w:r>
            <w:r w:rsidR="001A2439" w:rsidRPr="00FE1620">
              <w:rPr>
                <w:color w:val="002060"/>
              </w:rPr>
              <w:t>o the terms</w:t>
            </w:r>
            <w:r w:rsidR="00AD2A57">
              <w:rPr>
                <w:color w:val="002060"/>
              </w:rPr>
              <w:t xml:space="preserve"> either</w:t>
            </w:r>
            <w:r w:rsidR="001A2439" w:rsidRPr="00FE1620">
              <w:rPr>
                <w:color w:val="002060"/>
              </w:rPr>
              <w:t xml:space="preserve"> with the client or with the </w:t>
            </w:r>
            <w:r w:rsidR="00C95C35">
              <w:rPr>
                <w:color w:val="002060"/>
              </w:rPr>
              <w:t>work seeker</w:t>
            </w:r>
            <w:r w:rsidR="001A2439" w:rsidRPr="00FE1620">
              <w:rPr>
                <w:color w:val="002060"/>
              </w:rPr>
              <w:t xml:space="preserve">. </w:t>
            </w:r>
            <w:r w:rsidR="005173E8" w:rsidRPr="00FE1620">
              <w:rPr>
                <w:color w:val="002060"/>
              </w:rPr>
              <w:t>However,</w:t>
            </w:r>
            <w:r w:rsidR="001A2439" w:rsidRPr="00FE1620">
              <w:rPr>
                <w:color w:val="002060"/>
              </w:rPr>
              <w:t xml:space="preserve"> </w:t>
            </w:r>
            <w:r w:rsidR="001947BD">
              <w:rPr>
                <w:color w:val="002060"/>
              </w:rPr>
              <w:t>since</w:t>
            </w:r>
            <w:r w:rsidR="001947BD" w:rsidRPr="00FE1620">
              <w:rPr>
                <w:color w:val="002060"/>
              </w:rPr>
              <w:t xml:space="preserve"> </w:t>
            </w:r>
            <w:r w:rsidR="001A2439" w:rsidRPr="00FE1620">
              <w:rPr>
                <w:color w:val="002060"/>
              </w:rPr>
              <w:t xml:space="preserve">6 April 2020 employment businesses must give a Key Information Document to all </w:t>
            </w:r>
            <w:r w:rsidR="00C95C35">
              <w:rPr>
                <w:color w:val="002060"/>
              </w:rPr>
              <w:t>work seeker</w:t>
            </w:r>
            <w:r w:rsidR="001A2439" w:rsidRPr="00FE1620">
              <w:rPr>
                <w:color w:val="002060"/>
              </w:rPr>
              <w:t>s before the agree terms with them (</w:t>
            </w:r>
            <w:r w:rsidRPr="00FE1620">
              <w:rPr>
                <w:color w:val="002060"/>
              </w:rPr>
              <w:t>Conduct Regulation 13A</w:t>
            </w:r>
            <w:r w:rsidR="001A2439" w:rsidRPr="00FE1620">
              <w:rPr>
                <w:color w:val="002060"/>
              </w:rPr>
              <w:t xml:space="preserve">).  There </w:t>
            </w:r>
            <w:r w:rsidR="00B04FF8">
              <w:rPr>
                <w:color w:val="002060"/>
              </w:rPr>
              <w:t>i</w:t>
            </w:r>
            <w:r w:rsidR="001A2439" w:rsidRPr="00FE1620">
              <w:rPr>
                <w:color w:val="002060"/>
              </w:rPr>
              <w:t>s no opt out from Regulation 13A. See the REC Legal Guide f</w:t>
            </w:r>
            <w:r w:rsidRPr="00FE1620">
              <w:rPr>
                <w:color w:val="002060"/>
              </w:rPr>
              <w:t>or more information on the</w:t>
            </w:r>
            <w:r w:rsidRPr="005173E8">
              <w:rPr>
                <w:color w:val="002060"/>
              </w:rPr>
              <w:t xml:space="preserve"> </w:t>
            </w:r>
            <w:hyperlink r:id="rId25" w:history="1">
              <w:r w:rsidRPr="00B96D36">
                <w:rPr>
                  <w:rStyle w:val="Hyperlink"/>
                  <w:color w:val="36BEAE" w:themeColor="text2"/>
                </w:rPr>
                <w:t>Key Information Document</w:t>
              </w:r>
            </w:hyperlink>
            <w:r w:rsidR="001A2439" w:rsidRPr="00FE1620">
              <w:rPr>
                <w:color w:val="002060"/>
              </w:rPr>
              <w:t>.</w:t>
            </w:r>
          </w:p>
          <w:p w14:paraId="60C804E6" w14:textId="77777777" w:rsidR="001947BD" w:rsidRDefault="001947BD" w:rsidP="001C3C6E">
            <w:pPr>
              <w:pStyle w:val="BodyText"/>
              <w:rPr>
                <w:color w:val="002060"/>
              </w:rPr>
            </w:pPr>
          </w:p>
          <w:p w14:paraId="767CC040" w14:textId="415C96D2" w:rsidR="001947BD" w:rsidRPr="00FE1620" w:rsidRDefault="001947BD" w:rsidP="001C3C6E">
            <w:pPr>
              <w:pStyle w:val="BodyText"/>
              <w:rPr>
                <w:color w:val="002060"/>
              </w:rPr>
            </w:pPr>
            <w:proofErr w:type="spellStart"/>
            <w:r w:rsidRPr="00A17308">
              <w:rPr>
                <w:b/>
                <w:bCs/>
                <w:color w:val="002060"/>
              </w:rPr>
              <w:t>GLAA</w:t>
            </w:r>
            <w:proofErr w:type="spellEnd"/>
            <w:r w:rsidRPr="00A17308">
              <w:rPr>
                <w:b/>
                <w:bCs/>
                <w:color w:val="002060"/>
              </w:rPr>
              <w:t xml:space="preserve"> sector: </w:t>
            </w:r>
            <w:r>
              <w:rPr>
                <w:color w:val="002060"/>
              </w:rPr>
              <w:t xml:space="preserve">Note the Conduct Regulations do not apply in the </w:t>
            </w:r>
            <w:proofErr w:type="spellStart"/>
            <w:r>
              <w:rPr>
                <w:color w:val="002060"/>
              </w:rPr>
              <w:t>GLAA</w:t>
            </w:r>
            <w:proofErr w:type="spellEnd"/>
            <w:r>
              <w:rPr>
                <w:color w:val="002060"/>
              </w:rPr>
              <w:t xml:space="preserve"> regulated sectors Instead the Gangmasters (Licensing Conditions) Rules 2009 apply.  They are very similar to the Conduct Regulations</w:t>
            </w:r>
            <w:r w:rsidR="00D471C6">
              <w:rPr>
                <w:color w:val="002060"/>
              </w:rPr>
              <w:t xml:space="preserve"> but </w:t>
            </w:r>
            <w:r w:rsidR="00D471C6" w:rsidRPr="00D471C6">
              <w:rPr>
                <w:b/>
                <w:bCs/>
                <w:color w:val="002060"/>
              </w:rPr>
              <w:t>there is no opt out from the Gangmasters (Licensing Conditions) Rules 2009</w:t>
            </w:r>
            <w:r w:rsidR="00D471C6">
              <w:rPr>
                <w:color w:val="002060"/>
              </w:rPr>
              <w:t>.</w:t>
            </w:r>
          </w:p>
        </w:tc>
      </w:tr>
      <w:tr w:rsidR="00B82BFF" w14:paraId="5F34E4EE" w14:textId="77777777" w:rsidTr="001C3C6E">
        <w:tc>
          <w:tcPr>
            <w:tcW w:w="1250" w:type="dxa"/>
          </w:tcPr>
          <w:p w14:paraId="4830ABE0" w14:textId="77777777" w:rsidR="00B82BFF" w:rsidRPr="00661B5F" w:rsidRDefault="00B82BFF" w:rsidP="00B82BFF">
            <w:pPr>
              <w:pStyle w:val="BodyText"/>
              <w:numPr>
                <w:ilvl w:val="0"/>
                <w:numId w:val="22"/>
              </w:numPr>
            </w:pPr>
          </w:p>
        </w:tc>
        <w:tc>
          <w:tcPr>
            <w:tcW w:w="2588" w:type="dxa"/>
          </w:tcPr>
          <w:p w14:paraId="0354F425" w14:textId="77777777" w:rsidR="00B82BFF" w:rsidRPr="00FE1620" w:rsidRDefault="00B82BFF" w:rsidP="00B82BFF">
            <w:pPr>
              <w:pStyle w:val="BodyText"/>
            </w:pPr>
            <w:r w:rsidRPr="00FE1620">
              <w:t>1 (Definitions)</w:t>
            </w:r>
          </w:p>
          <w:p w14:paraId="0E3E84D3" w14:textId="6D26CF49" w:rsidR="00B82BFF" w:rsidRPr="00FE1620" w:rsidRDefault="00B82BFF" w:rsidP="00B82BFF">
            <w:pPr>
              <w:pStyle w:val="BodyText"/>
            </w:pPr>
            <w:r w:rsidRPr="00FE1620">
              <w:t>“Data Protection Laws”</w:t>
            </w:r>
          </w:p>
        </w:tc>
        <w:tc>
          <w:tcPr>
            <w:tcW w:w="5178" w:type="dxa"/>
          </w:tcPr>
          <w:p w14:paraId="287AA098" w14:textId="77777777" w:rsidR="00B82BFF" w:rsidRPr="00CD127A" w:rsidRDefault="00B82BFF" w:rsidP="00B82BFF">
            <w:pPr>
              <w:pStyle w:val="BodyText"/>
            </w:pPr>
            <w:r w:rsidRPr="00CD127A">
              <w:t>In 2018 both the General Data Protection Regulation and the Data Protection Act 2018 came into effect.</w:t>
            </w:r>
          </w:p>
          <w:p w14:paraId="036FB1ED" w14:textId="77777777" w:rsidR="00B82BFF" w:rsidRDefault="00B82BFF" w:rsidP="00B82BFF">
            <w:pPr>
              <w:pStyle w:val="BodyText"/>
            </w:pPr>
          </w:p>
          <w:p w14:paraId="0F7A3AF8" w14:textId="6F09883E" w:rsidR="00B82BFF" w:rsidRPr="00C12072" w:rsidRDefault="00B82BFF" w:rsidP="00B82BFF">
            <w:pPr>
              <w:pStyle w:val="BodyText"/>
            </w:pPr>
            <w:r w:rsidRPr="00CD127A">
              <w:t xml:space="preserve">For more </w:t>
            </w:r>
            <w:r w:rsidRPr="005173E8">
              <w:t xml:space="preserve">detail see the </w:t>
            </w:r>
            <w:hyperlink r:id="rId26" w:history="1">
              <w:r w:rsidRPr="00B96D36">
                <w:rPr>
                  <w:rStyle w:val="Hyperlink"/>
                  <w:color w:val="36BEAE" w:themeColor="text2"/>
                </w:rPr>
                <w:t>data protection section</w:t>
              </w:r>
            </w:hyperlink>
            <w:r w:rsidRPr="005173E8">
              <w:t xml:space="preserve"> of the REC Legal Guide and </w:t>
            </w:r>
            <w:hyperlink r:id="rId27" w:history="1">
              <w:r w:rsidRPr="00B96D36">
                <w:rPr>
                  <w:rStyle w:val="Hyperlink"/>
                  <w:color w:val="36BEAE" w:themeColor="text2"/>
                </w:rPr>
                <w:t>our factsheet on the General Data Protection Regulation</w:t>
              </w:r>
            </w:hyperlink>
            <w:r w:rsidRPr="005173E8">
              <w:t>.</w:t>
            </w:r>
          </w:p>
        </w:tc>
      </w:tr>
      <w:tr w:rsidR="00A524BF" w14:paraId="0783F74E" w14:textId="77777777" w:rsidTr="001C3C6E">
        <w:tc>
          <w:tcPr>
            <w:tcW w:w="1250" w:type="dxa"/>
          </w:tcPr>
          <w:p w14:paraId="64F82C7E" w14:textId="77777777" w:rsidR="00A524BF" w:rsidRPr="00661B5F" w:rsidRDefault="00A524BF" w:rsidP="00FE28C9">
            <w:pPr>
              <w:pStyle w:val="BodyText"/>
              <w:numPr>
                <w:ilvl w:val="0"/>
                <w:numId w:val="22"/>
              </w:numPr>
            </w:pPr>
          </w:p>
        </w:tc>
        <w:tc>
          <w:tcPr>
            <w:tcW w:w="2588" w:type="dxa"/>
          </w:tcPr>
          <w:p w14:paraId="4B94AE01" w14:textId="77777777" w:rsidR="00A524BF" w:rsidRPr="00FE1620" w:rsidRDefault="00A524BF" w:rsidP="001C3C6E">
            <w:pPr>
              <w:pStyle w:val="BodyText"/>
            </w:pPr>
            <w:r w:rsidRPr="00FE1620">
              <w:t>1 (Definitions)</w:t>
            </w:r>
          </w:p>
          <w:p w14:paraId="21E43801" w14:textId="77777777" w:rsidR="00A524BF" w:rsidRPr="00FE1620" w:rsidRDefault="00A524BF" w:rsidP="001C3C6E">
            <w:pPr>
              <w:pStyle w:val="BodyText"/>
            </w:pPr>
            <w:r w:rsidRPr="00FE1620">
              <w:t>“Exempt Organisation”</w:t>
            </w:r>
          </w:p>
          <w:p w14:paraId="4B453775" w14:textId="77777777" w:rsidR="00A524BF" w:rsidRPr="00FE1620" w:rsidRDefault="00A524BF" w:rsidP="001C3C6E">
            <w:pPr>
              <w:pStyle w:val="BodyText"/>
            </w:pPr>
          </w:p>
          <w:p w14:paraId="396D6D14" w14:textId="66465F68" w:rsidR="00A524BF" w:rsidRPr="00FE1620" w:rsidRDefault="00A524BF" w:rsidP="001C3C6E">
            <w:pPr>
              <w:pStyle w:val="BodyText"/>
            </w:pPr>
            <w:r w:rsidRPr="00FE1620">
              <w:t xml:space="preserve">(The Client’s Obligations </w:t>
            </w:r>
            <w:r w:rsidR="00051768" w:rsidRPr="00FE1620">
              <w:rPr>
                <w:bCs/>
              </w:rPr>
              <w:t>–</w:t>
            </w:r>
            <w:r w:rsidRPr="00FE1620">
              <w:t xml:space="preserve"> </w:t>
            </w:r>
            <w:proofErr w:type="spellStart"/>
            <w:r w:rsidRPr="00FE1620">
              <w:t>ITEPA</w:t>
            </w:r>
            <w:proofErr w:type="spellEnd"/>
            <w:r w:rsidRPr="00FE1620">
              <w:t>)</w:t>
            </w:r>
          </w:p>
          <w:p w14:paraId="35FE6F7C" w14:textId="77777777" w:rsidR="00A524BF" w:rsidRPr="00FE1620" w:rsidRDefault="00A524BF" w:rsidP="001C3C6E">
            <w:pPr>
              <w:pStyle w:val="BodyText"/>
            </w:pPr>
          </w:p>
          <w:p w14:paraId="7D07AC01" w14:textId="77777777" w:rsidR="00A524BF" w:rsidRPr="00FE1620" w:rsidRDefault="00A524BF" w:rsidP="001C3C6E">
            <w:pPr>
              <w:pStyle w:val="BodyText"/>
            </w:pPr>
            <w:r w:rsidRPr="00FE1620">
              <w:t>11.3.5 (Termination)</w:t>
            </w:r>
          </w:p>
          <w:p w14:paraId="2A5E98E7" w14:textId="77777777" w:rsidR="00A524BF" w:rsidRPr="00FE1620" w:rsidRDefault="00A524BF" w:rsidP="001C3C6E">
            <w:pPr>
              <w:pStyle w:val="BodyText"/>
              <w:rPr>
                <w:bCs/>
              </w:rPr>
            </w:pPr>
          </w:p>
          <w:p w14:paraId="1FCFDA75" w14:textId="77777777" w:rsidR="00A524BF" w:rsidRPr="00FE1620" w:rsidRDefault="00A524BF" w:rsidP="001C3C6E">
            <w:pPr>
              <w:pStyle w:val="BodyText"/>
            </w:pPr>
          </w:p>
        </w:tc>
        <w:tc>
          <w:tcPr>
            <w:tcW w:w="5178" w:type="dxa"/>
          </w:tcPr>
          <w:p w14:paraId="322EFEBE" w14:textId="3EA97C8E" w:rsidR="00F73649" w:rsidRDefault="00F73649" w:rsidP="001C3C6E">
            <w:pPr>
              <w:pStyle w:val="BodyText"/>
              <w:rPr>
                <w:bCs/>
                <w:lang w:eastAsia="en-GB"/>
              </w:rPr>
            </w:pPr>
            <w:r>
              <w:rPr>
                <w:bCs/>
                <w:lang w:eastAsia="en-GB"/>
              </w:rPr>
              <w:t xml:space="preserve">Public authorities (as defined under the Freedom of Information Act 2000 or the Freedom of Information (Scotland) Act 2002 ) are already covered by the Off-Payroll Rules.  Public authorities cannot be exempt. </w:t>
            </w:r>
          </w:p>
          <w:p w14:paraId="3449D929" w14:textId="77777777" w:rsidR="00F73649" w:rsidRDefault="00F73649" w:rsidP="001C3C6E">
            <w:pPr>
              <w:pStyle w:val="BodyText"/>
              <w:rPr>
                <w:bCs/>
                <w:lang w:eastAsia="en-GB"/>
              </w:rPr>
            </w:pPr>
          </w:p>
          <w:p w14:paraId="0A1C972F" w14:textId="4FEF8EE5" w:rsidR="00A524BF" w:rsidRPr="00CD127A" w:rsidRDefault="00A524BF" w:rsidP="001C3C6E">
            <w:pPr>
              <w:pStyle w:val="BodyText"/>
              <w:rPr>
                <w:bCs/>
                <w:lang w:eastAsia="en-GB"/>
              </w:rPr>
            </w:pPr>
            <w:r w:rsidRPr="00CD127A">
              <w:rPr>
                <w:bCs/>
                <w:lang w:eastAsia="en-GB"/>
              </w:rPr>
              <w:t>From 6 April 202</w:t>
            </w:r>
            <w:r w:rsidR="00921ED5">
              <w:rPr>
                <w:bCs/>
                <w:lang w:eastAsia="en-GB"/>
              </w:rPr>
              <w:t>1</w:t>
            </w:r>
            <w:r w:rsidRPr="00CD127A">
              <w:rPr>
                <w:bCs/>
                <w:lang w:eastAsia="en-GB"/>
              </w:rPr>
              <w:t xml:space="preserve"> the off-payroll rules will apply in both the public and private sectors except where the end user is a:</w:t>
            </w:r>
          </w:p>
          <w:p w14:paraId="05E0A192" w14:textId="77777777" w:rsidR="00A524BF" w:rsidRPr="00CD127A" w:rsidRDefault="00A524BF" w:rsidP="00FE28C9">
            <w:pPr>
              <w:pStyle w:val="BodyText"/>
              <w:numPr>
                <w:ilvl w:val="0"/>
                <w:numId w:val="23"/>
              </w:numPr>
              <w:rPr>
                <w:bCs/>
                <w:lang w:eastAsia="en-GB"/>
              </w:rPr>
            </w:pPr>
            <w:r w:rsidRPr="00CD127A">
              <w:rPr>
                <w:bCs/>
                <w:lang w:eastAsia="en-GB"/>
              </w:rPr>
              <w:t xml:space="preserve">A small company within the meaning of the Companies Act 2006 (i.e. a company which meets two or more of the following criteria (a) annual turnover of not more than £10.2 million, </w:t>
            </w:r>
            <w:r w:rsidRPr="00CD127A">
              <w:rPr>
                <w:bCs/>
                <w:lang w:eastAsia="en-GB"/>
              </w:rPr>
              <w:lastRenderedPageBreak/>
              <w:t>(b) balance sheet total of not more than £5.1 million or (c) no more than 50 employees); or</w:t>
            </w:r>
          </w:p>
          <w:p w14:paraId="0890D46E" w14:textId="5402A547" w:rsidR="00921ED5" w:rsidRDefault="00A524BF" w:rsidP="00FE28C9">
            <w:pPr>
              <w:pStyle w:val="BodyText"/>
              <w:numPr>
                <w:ilvl w:val="0"/>
                <w:numId w:val="23"/>
              </w:numPr>
              <w:rPr>
                <w:bCs/>
                <w:lang w:eastAsia="en-GB"/>
              </w:rPr>
            </w:pPr>
            <w:r w:rsidRPr="00CD127A">
              <w:rPr>
                <w:bCs/>
                <w:lang w:eastAsia="en-GB"/>
              </w:rPr>
              <w:t>An unincorporated organisation with a turnover of less than £10.2 million per year</w:t>
            </w:r>
            <w:r w:rsidR="00921ED5">
              <w:rPr>
                <w:bCs/>
                <w:lang w:eastAsia="en-GB"/>
              </w:rPr>
              <w:t>; or</w:t>
            </w:r>
          </w:p>
          <w:p w14:paraId="15A31A0F" w14:textId="5AF5F329" w:rsidR="00A524BF" w:rsidRDefault="00921ED5" w:rsidP="00FE28C9">
            <w:pPr>
              <w:pStyle w:val="BodyText"/>
              <w:numPr>
                <w:ilvl w:val="0"/>
                <w:numId w:val="23"/>
              </w:numPr>
              <w:rPr>
                <w:bCs/>
                <w:lang w:eastAsia="en-GB"/>
              </w:rPr>
            </w:pPr>
            <w:r>
              <w:rPr>
                <w:bCs/>
                <w:lang w:eastAsia="en-GB"/>
              </w:rPr>
              <w:t>A wholly overseas company</w:t>
            </w:r>
            <w:r w:rsidR="00A524BF" w:rsidRPr="00CD127A">
              <w:rPr>
                <w:bCs/>
                <w:lang w:eastAsia="en-GB"/>
              </w:rPr>
              <w:t>.</w:t>
            </w:r>
          </w:p>
          <w:p w14:paraId="10E10272" w14:textId="77777777" w:rsidR="000A5C1B" w:rsidRPr="00CD127A" w:rsidRDefault="000A5C1B" w:rsidP="000A5C1B">
            <w:pPr>
              <w:pStyle w:val="BodyText"/>
              <w:ind w:left="720"/>
              <w:rPr>
                <w:bCs/>
                <w:lang w:eastAsia="en-GB"/>
              </w:rPr>
            </w:pPr>
          </w:p>
          <w:p w14:paraId="6FE79A3D" w14:textId="389E4494" w:rsidR="00921ED5" w:rsidRPr="00B96D36" w:rsidRDefault="00921ED5" w:rsidP="00921ED5">
            <w:pPr>
              <w:pStyle w:val="BodyText"/>
              <w:rPr>
                <w:b/>
              </w:rPr>
            </w:pPr>
            <w:r w:rsidRPr="00B96D36">
              <w:rPr>
                <w:b/>
              </w:rPr>
              <w:t xml:space="preserve">Wholly overseas company: </w:t>
            </w:r>
          </w:p>
          <w:p w14:paraId="5345D873" w14:textId="3744083B" w:rsidR="00A77A38" w:rsidRDefault="00A77A38" w:rsidP="00A77A38">
            <w:pPr>
              <w:pStyle w:val="BodyText"/>
              <w:rPr>
                <w:bCs/>
                <w:lang w:eastAsia="en-GB"/>
              </w:rPr>
            </w:pPr>
            <w:r>
              <w:rPr>
                <w:bCs/>
                <w:lang w:eastAsia="en-GB"/>
              </w:rPr>
              <w:t xml:space="preserve">A company will also be exempt if it is based wholly overseas, i.e. there is no UK connection </w:t>
            </w:r>
            <w:r w:rsidR="000C5025">
              <w:rPr>
                <w:bCs/>
                <w:lang w:eastAsia="en-GB"/>
              </w:rPr>
              <w:t>i</w:t>
            </w:r>
            <w:r>
              <w:rPr>
                <w:bCs/>
                <w:lang w:eastAsia="en-GB"/>
              </w:rPr>
              <w:t xml:space="preserve">mmediately before the beginning of the relevant tax year either in the form of being UK resident or having a permanent establishment in the UK.  This means having a fixed place of business which includes a branch, an office or a factory. It would also include having an agent that ordinarily operates on behalf of the client or an oil or gas platform within UK waters. </w:t>
            </w:r>
          </w:p>
          <w:p w14:paraId="398D848D" w14:textId="77777777" w:rsidR="00A77A38" w:rsidRDefault="00A77A38" w:rsidP="00A77A38">
            <w:pPr>
              <w:pStyle w:val="BodyText"/>
              <w:rPr>
                <w:bCs/>
                <w:lang w:eastAsia="en-GB"/>
              </w:rPr>
            </w:pPr>
          </w:p>
          <w:p w14:paraId="1EBC8727" w14:textId="56A33F7A" w:rsidR="00A77A38" w:rsidRPr="00B96D36" w:rsidRDefault="00A77A38" w:rsidP="00A77A38">
            <w:pPr>
              <w:pStyle w:val="BodyText"/>
              <w:rPr>
                <w:bCs/>
                <w:lang w:eastAsia="en-GB"/>
              </w:rPr>
            </w:pPr>
            <w:r w:rsidRPr="00BA7C86">
              <w:rPr>
                <w:bCs/>
                <w:lang w:eastAsia="en-GB"/>
              </w:rPr>
              <w:t xml:space="preserve">For more details on the </w:t>
            </w:r>
            <w:r>
              <w:rPr>
                <w:bCs/>
                <w:lang w:eastAsia="en-GB"/>
              </w:rPr>
              <w:t xml:space="preserve">overseas </w:t>
            </w:r>
            <w:r w:rsidRPr="00BA7C86">
              <w:rPr>
                <w:bCs/>
                <w:lang w:eastAsia="en-GB"/>
              </w:rPr>
              <w:t xml:space="preserve">companies exemption see HMRC's Employment Status Manual at </w:t>
            </w:r>
            <w:hyperlink r:id="rId28" w:history="1">
              <w:r w:rsidRPr="00B96D36">
                <w:rPr>
                  <w:rStyle w:val="Hyperlink"/>
                  <w:bCs/>
                  <w:color w:val="36BEAE" w:themeColor="text2"/>
                  <w:lang w:eastAsia="en-GB"/>
                </w:rPr>
                <w:t>ESM 10006 and 10025 to 10026</w:t>
              </w:r>
            </w:hyperlink>
            <w:r w:rsidRPr="00B96D36">
              <w:rPr>
                <w:bCs/>
                <w:lang w:eastAsia="en-GB"/>
              </w:rPr>
              <w:t>.</w:t>
            </w:r>
          </w:p>
          <w:p w14:paraId="4199B30B" w14:textId="7B0056BD" w:rsidR="00A77A38" w:rsidRDefault="00A77A38" w:rsidP="00A77A38">
            <w:pPr>
              <w:pStyle w:val="BodyText"/>
              <w:rPr>
                <w:bCs/>
                <w:lang w:eastAsia="en-GB"/>
              </w:rPr>
            </w:pPr>
          </w:p>
          <w:p w14:paraId="570C785C" w14:textId="2A2834C1" w:rsidR="00B31E5D" w:rsidRPr="001C35DF" w:rsidRDefault="00B31E5D" w:rsidP="00A77A38">
            <w:pPr>
              <w:pStyle w:val="BodyText"/>
              <w:rPr>
                <w:b/>
                <w:bCs/>
                <w:lang w:eastAsia="en-GB"/>
              </w:rPr>
            </w:pPr>
            <w:r w:rsidRPr="001C35DF">
              <w:rPr>
                <w:b/>
                <w:bCs/>
                <w:lang w:eastAsia="en-GB"/>
              </w:rPr>
              <w:t xml:space="preserve">Confirmation of exempt status: </w:t>
            </w:r>
          </w:p>
          <w:p w14:paraId="23626D72" w14:textId="72E6BC9E" w:rsidR="000C5025" w:rsidRDefault="00B31E5D" w:rsidP="00A77A38">
            <w:pPr>
              <w:pStyle w:val="BodyText"/>
              <w:rPr>
                <w:bCs/>
                <w:lang w:eastAsia="en-GB"/>
              </w:rPr>
            </w:pPr>
            <w:r>
              <w:rPr>
                <w:bCs/>
                <w:lang w:eastAsia="en-GB"/>
              </w:rPr>
              <w:t xml:space="preserve">If the employment business asks the client to confirm its size, the client must respond to the employment business within 45 days of the date of the request.  The same does not apply to a request for confirmation of status as a wholly overseas company. However we have included a contractual term whereby the client must confirm its exempt status within [7] days of the request - this would include status as a wholly overseas company. You can use </w:t>
            </w:r>
            <w:r w:rsidR="000C5025">
              <w:rPr>
                <w:bCs/>
                <w:lang w:eastAsia="en-GB"/>
              </w:rPr>
              <w:t xml:space="preserve">our </w:t>
            </w:r>
            <w:hyperlink r:id="rId29" w:history="1">
              <w:r w:rsidR="000C5025" w:rsidRPr="001C35DF">
                <w:rPr>
                  <w:rStyle w:val="Hyperlink"/>
                  <w:bCs/>
                  <w:color w:val="36BEAE" w:themeColor="text2"/>
                  <w:lang w:eastAsia="en-GB"/>
                </w:rPr>
                <w:t>exempt company declaration form</w:t>
              </w:r>
            </w:hyperlink>
            <w:r w:rsidR="000C5025">
              <w:rPr>
                <w:bCs/>
                <w:lang w:eastAsia="en-GB"/>
              </w:rPr>
              <w:t xml:space="preserve">. </w:t>
            </w:r>
          </w:p>
          <w:p w14:paraId="1FDB3A67" w14:textId="77777777" w:rsidR="000C5025" w:rsidRDefault="000C5025" w:rsidP="00A77A38">
            <w:pPr>
              <w:pStyle w:val="BodyText"/>
              <w:rPr>
                <w:bCs/>
                <w:lang w:eastAsia="en-GB"/>
              </w:rPr>
            </w:pPr>
          </w:p>
          <w:p w14:paraId="40767899" w14:textId="27E648B4" w:rsidR="00A77A38" w:rsidRDefault="00A77A38" w:rsidP="00A77A38">
            <w:pPr>
              <w:pStyle w:val="BodyText"/>
              <w:rPr>
                <w:bCs/>
                <w:lang w:eastAsia="en-GB"/>
              </w:rPr>
            </w:pPr>
            <w:r w:rsidRPr="00101750">
              <w:rPr>
                <w:b/>
                <w:bCs/>
                <w:lang w:eastAsia="en-GB"/>
              </w:rPr>
              <w:t xml:space="preserve">NOTE: </w:t>
            </w:r>
            <w:r>
              <w:rPr>
                <w:bCs/>
                <w:lang w:eastAsia="en-GB"/>
              </w:rPr>
              <w:t>If a</w:t>
            </w:r>
            <w:r w:rsidR="00F73649">
              <w:rPr>
                <w:bCs/>
                <w:lang w:eastAsia="en-GB"/>
              </w:rPr>
              <w:t>n organisation</w:t>
            </w:r>
            <w:r>
              <w:rPr>
                <w:bCs/>
                <w:lang w:eastAsia="en-GB"/>
              </w:rPr>
              <w:t xml:space="preserve"> claims to be exempt, but is not, it will be deemed to be the fee-payer</w:t>
            </w:r>
            <w:r w:rsidR="00EA12AD">
              <w:rPr>
                <w:bCs/>
                <w:lang w:eastAsia="en-GB"/>
              </w:rPr>
              <w:t xml:space="preserve"> and </w:t>
            </w:r>
            <w:r w:rsidR="00B82BFF">
              <w:rPr>
                <w:bCs/>
                <w:lang w:eastAsia="en-GB"/>
              </w:rPr>
              <w:t>must deduct</w:t>
            </w:r>
            <w:r w:rsidR="00EA12AD">
              <w:rPr>
                <w:bCs/>
                <w:lang w:eastAsia="en-GB"/>
              </w:rPr>
              <w:t xml:space="preserve"> PAYE </w:t>
            </w:r>
            <w:r w:rsidR="00B82BFF">
              <w:rPr>
                <w:bCs/>
                <w:lang w:eastAsia="en-GB"/>
              </w:rPr>
              <w:t xml:space="preserve">and </w:t>
            </w:r>
            <w:r w:rsidR="00EA12AD">
              <w:rPr>
                <w:bCs/>
                <w:lang w:eastAsia="en-GB"/>
              </w:rPr>
              <w:t>NICs</w:t>
            </w:r>
            <w:r>
              <w:rPr>
                <w:bCs/>
                <w:lang w:eastAsia="en-GB"/>
              </w:rPr>
              <w:t xml:space="preserve"> until it confirms it is not exempt.  </w:t>
            </w:r>
          </w:p>
          <w:p w14:paraId="6BC37654" w14:textId="77777777" w:rsidR="00A77A38" w:rsidRDefault="00A77A38" w:rsidP="00A77A38">
            <w:pPr>
              <w:pStyle w:val="BodyText"/>
              <w:rPr>
                <w:bCs/>
                <w:lang w:eastAsia="en-GB"/>
              </w:rPr>
            </w:pPr>
          </w:p>
          <w:p w14:paraId="03FC7793" w14:textId="0C1ADA64" w:rsidR="00A524BF" w:rsidRPr="00C12072" w:rsidRDefault="00A524BF" w:rsidP="001C35DF">
            <w:pPr>
              <w:pStyle w:val="BodyText"/>
            </w:pPr>
            <w:r w:rsidRPr="00CD127A">
              <w:t>Where the client organisation is exempt</w:t>
            </w:r>
            <w:r w:rsidR="00EA12AD">
              <w:t>,</w:t>
            </w:r>
            <w:r w:rsidRPr="00CD127A">
              <w:t xml:space="preserve"> the off-payroll rules do not apply which means that the PSC is responsible for IR35 and its own tax affairs.  </w:t>
            </w:r>
            <w:r w:rsidR="005173E8" w:rsidRPr="00CD127A">
              <w:t>However,</w:t>
            </w:r>
            <w:r w:rsidRPr="00CD127A">
              <w:t xml:space="preserve"> where the client organisation is not exempt from the off-payroll rules</w:t>
            </w:r>
            <w:r w:rsidR="00A77A38">
              <w:t xml:space="preserve"> </w:t>
            </w:r>
            <w:r w:rsidRPr="00CD127A">
              <w:t>then the client must make a Status Determination Statement</w:t>
            </w:r>
            <w:r w:rsidR="002B001C">
              <w:t xml:space="preserve"> i.e. must decide whether an engagement is inside IR35 or outside IR35</w:t>
            </w:r>
            <w:r w:rsidRPr="00CD127A">
              <w:t xml:space="preserve">. </w:t>
            </w:r>
            <w:r w:rsidR="00AC74F5">
              <w:t>You can use contract 3A if the client is not exempt.</w:t>
            </w:r>
            <w:r w:rsidR="001C35DF">
              <w:t xml:space="preserve"> </w:t>
            </w:r>
          </w:p>
        </w:tc>
      </w:tr>
      <w:tr w:rsidR="00A524BF" w14:paraId="3C4D9D67" w14:textId="5858E0F3" w:rsidTr="001C3C6E">
        <w:tc>
          <w:tcPr>
            <w:tcW w:w="1250" w:type="dxa"/>
          </w:tcPr>
          <w:p w14:paraId="1D8D8E67" w14:textId="7000B730" w:rsidR="00A524BF" w:rsidRPr="00661B5F" w:rsidRDefault="00A524BF" w:rsidP="00FE28C9">
            <w:pPr>
              <w:pStyle w:val="BodyText"/>
              <w:numPr>
                <w:ilvl w:val="0"/>
                <w:numId w:val="22"/>
              </w:numPr>
            </w:pPr>
          </w:p>
        </w:tc>
        <w:tc>
          <w:tcPr>
            <w:tcW w:w="2588" w:type="dxa"/>
          </w:tcPr>
          <w:p w14:paraId="77A2E90C" w14:textId="6680A4EC" w:rsidR="00A524BF" w:rsidRPr="00FE1620" w:rsidRDefault="00A524BF" w:rsidP="001C3C6E">
            <w:pPr>
              <w:pStyle w:val="BodyText"/>
            </w:pPr>
            <w:r w:rsidRPr="00FE1620">
              <w:t xml:space="preserve">1 (Definitions) </w:t>
            </w:r>
          </w:p>
          <w:p w14:paraId="3FD36A4B" w14:textId="7043CE91" w:rsidR="00A524BF" w:rsidRPr="00FE1620" w:rsidRDefault="00A524BF" w:rsidP="001C3C6E">
            <w:pPr>
              <w:pStyle w:val="BodyText"/>
            </w:pPr>
            <w:r w:rsidRPr="00FE1620">
              <w:t>“Inside IR35”</w:t>
            </w:r>
          </w:p>
          <w:p w14:paraId="331FF359" w14:textId="77777777" w:rsidR="00A524BF" w:rsidRDefault="00A524BF" w:rsidP="001C3C6E">
            <w:pPr>
              <w:pStyle w:val="BodyText"/>
            </w:pPr>
          </w:p>
          <w:p w14:paraId="5A9CC987" w14:textId="0C614860" w:rsidR="00AC7571" w:rsidRPr="00FE1620" w:rsidRDefault="00AC7571" w:rsidP="001C3C6E">
            <w:pPr>
              <w:pStyle w:val="BodyText"/>
            </w:pPr>
            <w:r>
              <w:t xml:space="preserve">3.4.1 </w:t>
            </w:r>
            <w:r w:rsidR="006F2347">
              <w:t>to</w:t>
            </w:r>
            <w:r>
              <w:t xml:space="preserve"> 3.4.</w:t>
            </w:r>
            <w:r w:rsidR="006F2347">
              <w:t>3</w:t>
            </w:r>
            <w:r>
              <w:t xml:space="preserve"> (The Client’s Obligations)</w:t>
            </w:r>
          </w:p>
        </w:tc>
        <w:tc>
          <w:tcPr>
            <w:tcW w:w="5178" w:type="dxa"/>
          </w:tcPr>
          <w:p w14:paraId="30C3C437" w14:textId="0754B68D" w:rsidR="00A524BF" w:rsidRPr="00CD127A" w:rsidRDefault="001947BD" w:rsidP="001947BD">
            <w:pPr>
              <w:pStyle w:val="BodyText"/>
            </w:pPr>
            <w:r>
              <w:t xml:space="preserve">Under this contract the client has no responsibility for IR35 - the PSC must still manage IR35 assessments and deductions if applicable.  </w:t>
            </w:r>
            <w:r w:rsidR="00A524BF" w:rsidRPr="00CD127A">
              <w:t>An assignment will be “Inside IR35” where</w:t>
            </w:r>
            <w:r w:rsidR="000C5025">
              <w:t xml:space="preserve">, if the PSC did not exist, </w:t>
            </w:r>
            <w:r w:rsidR="00A524BF" w:rsidRPr="00CD127A">
              <w:t xml:space="preserve">the individual supplied would be deemed to be an employee of the end user client for tax purposes.  </w:t>
            </w:r>
          </w:p>
          <w:p w14:paraId="50E9B408" w14:textId="77777777" w:rsidR="00116B48" w:rsidRPr="00E55D42" w:rsidRDefault="00116B48" w:rsidP="00116B48">
            <w:pPr>
              <w:pStyle w:val="NormalWeb"/>
              <w:shd w:val="clear" w:color="auto" w:fill="FFFFFF"/>
              <w:spacing w:before="300" w:beforeAutospacing="0" w:after="300" w:afterAutospacing="0"/>
              <w:rPr>
                <w:rFonts w:ascii="Lato" w:hAnsi="Lato" w:cs="Arial"/>
                <w:color w:val="002060"/>
                <w:sz w:val="20"/>
                <w:szCs w:val="20"/>
              </w:rPr>
            </w:pPr>
            <w:r w:rsidRPr="00BE3012">
              <w:rPr>
                <w:rFonts w:ascii="Lato" w:hAnsi="Lato"/>
                <w:sz w:val="20"/>
                <w:szCs w:val="20"/>
              </w:rPr>
              <w:lastRenderedPageBreak/>
              <w:t xml:space="preserve">Office holder roles are deemed to be Inside IR35 (Section 61M(1)(ii) </w:t>
            </w:r>
            <w:proofErr w:type="spellStart"/>
            <w:r w:rsidRPr="00BE3012">
              <w:rPr>
                <w:rFonts w:ascii="Lato" w:hAnsi="Lato"/>
                <w:sz w:val="20"/>
                <w:szCs w:val="20"/>
              </w:rPr>
              <w:t>ITEPA</w:t>
            </w:r>
            <w:proofErr w:type="spellEnd"/>
            <w:r w:rsidRPr="00BE3012">
              <w:rPr>
                <w:rFonts w:ascii="Lato" w:hAnsi="Lato"/>
                <w:sz w:val="20"/>
                <w:szCs w:val="20"/>
              </w:rPr>
              <w:t xml:space="preserve">). </w:t>
            </w:r>
            <w:r w:rsidRPr="00E55D42">
              <w:rPr>
                <w:rFonts w:ascii="Lato" w:hAnsi="Lato"/>
                <w:color w:val="002060"/>
                <w:sz w:val="20"/>
                <w:szCs w:val="20"/>
              </w:rPr>
              <w:t xml:space="preserve"> </w:t>
            </w:r>
            <w:r w:rsidRPr="00E55D42">
              <w:rPr>
                <w:rFonts w:ascii="Lato" w:hAnsi="Lato" w:cs="Arial"/>
                <w:color w:val="002060"/>
                <w:sz w:val="20"/>
                <w:szCs w:val="20"/>
              </w:rPr>
              <w:t>There is no statutory definition of the word ‘office’. It has been defined in case law as a</w:t>
            </w:r>
          </w:p>
          <w:p w14:paraId="30AC8820" w14:textId="77777777" w:rsidR="00116B48" w:rsidRPr="00E55D42" w:rsidRDefault="00116B48" w:rsidP="00116B48">
            <w:pPr>
              <w:shd w:val="clear" w:color="auto" w:fill="FFFFFF"/>
              <w:spacing w:before="300" w:after="300"/>
              <w:ind w:left="720"/>
              <w:rPr>
                <w:rFonts w:ascii="Lato" w:eastAsia="Times New Roman" w:hAnsi="Lato" w:cs="Arial"/>
                <w:color w:val="002060"/>
                <w:szCs w:val="20"/>
                <w:lang w:eastAsia="en-GB"/>
              </w:rPr>
            </w:pPr>
            <w:r w:rsidRPr="00BE3012">
              <w:rPr>
                <w:rFonts w:ascii="Lato" w:eastAsia="Times New Roman" w:hAnsi="Lato" w:cs="Arial"/>
                <w:color w:val="002060"/>
                <w:szCs w:val="20"/>
                <w:lang w:eastAsia="en-GB"/>
              </w:rPr>
              <w:t>‘permanent, substantive position which had an existence independent from the person who filled it, which went on and was filled in succession by successive holders.’</w:t>
            </w:r>
          </w:p>
          <w:p w14:paraId="4BEC1E27" w14:textId="65EEF8B5" w:rsidR="00116B48" w:rsidRPr="00C12072" w:rsidRDefault="00116B48" w:rsidP="00116B48">
            <w:pPr>
              <w:pStyle w:val="BodyText"/>
            </w:pPr>
            <w:r w:rsidRPr="00E55D42">
              <w:rPr>
                <w:rFonts w:eastAsia="Times New Roman" w:cs="Arial"/>
                <w:color w:val="002060"/>
                <w:lang w:eastAsia="en-GB"/>
              </w:rPr>
              <w:t xml:space="preserve">For more </w:t>
            </w:r>
            <w:r>
              <w:rPr>
                <w:rFonts w:eastAsia="Times New Roman" w:cs="Arial"/>
                <w:color w:val="002060"/>
                <w:lang w:eastAsia="en-GB"/>
              </w:rPr>
              <w:t>i</w:t>
            </w:r>
            <w:r w:rsidRPr="00E55D42">
              <w:rPr>
                <w:rFonts w:eastAsia="Times New Roman" w:cs="Arial"/>
                <w:color w:val="002060"/>
                <w:lang w:eastAsia="en-GB"/>
              </w:rPr>
              <w:t>nformation on office holders see HMRC's</w:t>
            </w:r>
            <w:r>
              <w:rPr>
                <w:rFonts w:eastAsia="Times New Roman" w:cs="Arial"/>
                <w:color w:val="0B0C0C"/>
                <w:lang w:eastAsia="en-GB"/>
              </w:rPr>
              <w:t xml:space="preserve"> </w:t>
            </w:r>
            <w:hyperlink r:id="rId30" w:history="1">
              <w:r w:rsidRPr="00BE3012">
                <w:rPr>
                  <w:rStyle w:val="Hyperlink"/>
                  <w:rFonts w:eastAsia="Times New Roman" w:cs="Arial"/>
                  <w:color w:val="36BEAE" w:themeColor="text2"/>
                  <w:lang w:eastAsia="en-GB"/>
                </w:rPr>
                <w:t>ESM 2500</w:t>
              </w:r>
            </w:hyperlink>
          </w:p>
        </w:tc>
      </w:tr>
      <w:tr w:rsidR="00A524BF" w14:paraId="1BE54FED" w14:textId="77777777" w:rsidTr="001C3C6E">
        <w:tc>
          <w:tcPr>
            <w:tcW w:w="1250" w:type="dxa"/>
          </w:tcPr>
          <w:p w14:paraId="2252C8E7" w14:textId="77777777" w:rsidR="00A524BF" w:rsidRPr="00661B5F" w:rsidRDefault="00A524BF" w:rsidP="00FE28C9">
            <w:pPr>
              <w:pStyle w:val="BodyText"/>
              <w:numPr>
                <w:ilvl w:val="0"/>
                <w:numId w:val="22"/>
              </w:numPr>
            </w:pPr>
          </w:p>
        </w:tc>
        <w:tc>
          <w:tcPr>
            <w:tcW w:w="2588" w:type="dxa"/>
          </w:tcPr>
          <w:p w14:paraId="34BE728E" w14:textId="77777777" w:rsidR="00A524BF" w:rsidRPr="00FE1620" w:rsidRDefault="00A524BF" w:rsidP="001C3C6E">
            <w:pPr>
              <w:pStyle w:val="BodyText"/>
            </w:pPr>
            <w:r w:rsidRPr="00FE1620">
              <w:t xml:space="preserve">1 (Definitions) </w:t>
            </w:r>
          </w:p>
          <w:p w14:paraId="5CF1F832" w14:textId="093D7852" w:rsidR="00A524BF" w:rsidRPr="00FE1620" w:rsidRDefault="00A524BF" w:rsidP="001C3C6E">
            <w:pPr>
              <w:pStyle w:val="BodyText"/>
            </w:pPr>
            <w:r w:rsidRPr="00FE1620">
              <w:t>“Intermediary”</w:t>
            </w:r>
          </w:p>
        </w:tc>
        <w:tc>
          <w:tcPr>
            <w:tcW w:w="5178" w:type="dxa"/>
          </w:tcPr>
          <w:p w14:paraId="49CB6B6F" w14:textId="2DA1633B" w:rsidR="00757171" w:rsidRPr="00C12072" w:rsidRDefault="00A524BF" w:rsidP="00132E60">
            <w:pPr>
              <w:pStyle w:val="BodyText"/>
            </w:pPr>
            <w:r w:rsidRPr="00CD127A">
              <w:t>An intermediary is any third party which a Temporary Resource supplies their services through.  It could be an umbrella company, a CIS intermediary (construction sector only)</w:t>
            </w:r>
            <w:r w:rsidR="001E030D">
              <w:t>,</w:t>
            </w:r>
            <w:r w:rsidRPr="00CD127A">
              <w:t xml:space="preserve"> a personal services company</w:t>
            </w:r>
            <w:r>
              <w:t xml:space="preserve"> or a partnership</w:t>
            </w:r>
            <w:r w:rsidRPr="00CD127A">
              <w:t xml:space="preserve">. </w:t>
            </w:r>
          </w:p>
        </w:tc>
      </w:tr>
      <w:tr w:rsidR="002D6728" w14:paraId="2B66C3A6" w14:textId="77777777" w:rsidTr="001C3C6E">
        <w:tc>
          <w:tcPr>
            <w:tcW w:w="1250" w:type="dxa"/>
          </w:tcPr>
          <w:p w14:paraId="5D2D8E39" w14:textId="77777777" w:rsidR="002D6728" w:rsidRPr="00661B5F" w:rsidRDefault="002D6728" w:rsidP="00FE28C9">
            <w:pPr>
              <w:pStyle w:val="BodyText"/>
              <w:numPr>
                <w:ilvl w:val="0"/>
                <w:numId w:val="22"/>
              </w:numPr>
            </w:pPr>
          </w:p>
        </w:tc>
        <w:tc>
          <w:tcPr>
            <w:tcW w:w="2588" w:type="dxa"/>
          </w:tcPr>
          <w:p w14:paraId="2CA85A39" w14:textId="1B5D98B4" w:rsidR="002D6728" w:rsidRPr="00403FB7" w:rsidRDefault="002D6728" w:rsidP="001C3C6E">
            <w:pPr>
              <w:pStyle w:val="BodyText"/>
            </w:pPr>
            <w:r w:rsidRPr="00403FB7">
              <w:t xml:space="preserve">1 (Definitions) </w:t>
            </w:r>
          </w:p>
          <w:p w14:paraId="37B60BC8" w14:textId="6801FE76" w:rsidR="002D6728" w:rsidRPr="00403FB7" w:rsidRDefault="002D6728" w:rsidP="001C3C6E">
            <w:pPr>
              <w:pStyle w:val="BodyText"/>
            </w:pPr>
            <w:r w:rsidRPr="00403FB7">
              <w:t>"</w:t>
            </w:r>
            <w:r w:rsidR="00DF3BCA" w:rsidRPr="00403FB7">
              <w:t>Conditions of Liability"</w:t>
            </w:r>
          </w:p>
        </w:tc>
        <w:tc>
          <w:tcPr>
            <w:tcW w:w="5178" w:type="dxa"/>
          </w:tcPr>
          <w:p w14:paraId="2D4562E3" w14:textId="49940944" w:rsidR="00041507" w:rsidRPr="0076631F" w:rsidRDefault="00041507" w:rsidP="00041507">
            <w:pPr>
              <w:ind w:right="284"/>
              <w:rPr>
                <w:rFonts w:ascii="Lato" w:hAnsi="Lato"/>
                <w:szCs w:val="20"/>
              </w:rPr>
            </w:pPr>
            <w:r w:rsidRPr="0076631F">
              <w:rPr>
                <w:rFonts w:ascii="Lato" w:hAnsi="Lato"/>
                <w:szCs w:val="20"/>
              </w:rPr>
              <w:t xml:space="preserve">The employment business must know whether the </w:t>
            </w:r>
            <w:r>
              <w:rPr>
                <w:rFonts w:ascii="Lato" w:hAnsi="Lato"/>
                <w:szCs w:val="20"/>
              </w:rPr>
              <w:t>PSC</w:t>
            </w:r>
            <w:r w:rsidRPr="0076631F">
              <w:rPr>
                <w:rFonts w:ascii="Lato" w:hAnsi="Lato"/>
                <w:szCs w:val="20"/>
              </w:rPr>
              <w:t xml:space="preserve"> meets </w:t>
            </w:r>
            <w:r>
              <w:rPr>
                <w:rFonts w:ascii="Lato" w:hAnsi="Lato"/>
                <w:szCs w:val="20"/>
              </w:rPr>
              <w:t>the co</w:t>
            </w:r>
            <w:r w:rsidRPr="0076631F">
              <w:rPr>
                <w:rFonts w:ascii="Lato" w:hAnsi="Lato"/>
                <w:szCs w:val="20"/>
              </w:rPr>
              <w:t>nditions set out in sections 5</w:t>
            </w:r>
            <w:r>
              <w:rPr>
                <w:rFonts w:ascii="Lato" w:hAnsi="Lato"/>
                <w:szCs w:val="20"/>
              </w:rPr>
              <w:t>0</w:t>
            </w:r>
            <w:r w:rsidRPr="0076631F">
              <w:rPr>
                <w:rFonts w:ascii="Lato" w:hAnsi="Lato"/>
                <w:szCs w:val="20"/>
              </w:rPr>
              <w:t xml:space="preserve"> to 53 </w:t>
            </w:r>
            <w:proofErr w:type="spellStart"/>
            <w:r w:rsidRPr="0076631F">
              <w:rPr>
                <w:rFonts w:ascii="Lato" w:hAnsi="Lato"/>
                <w:szCs w:val="20"/>
              </w:rPr>
              <w:t>ITEPA</w:t>
            </w:r>
            <w:proofErr w:type="spellEnd"/>
            <w:r w:rsidRPr="0076631F">
              <w:rPr>
                <w:rFonts w:ascii="Lato" w:hAnsi="Lato"/>
                <w:szCs w:val="20"/>
              </w:rPr>
              <w:t xml:space="preserve">– these are: </w:t>
            </w:r>
          </w:p>
          <w:p w14:paraId="59EF5FA7" w14:textId="77777777" w:rsidR="00041507" w:rsidRPr="0076631F" w:rsidRDefault="00041507" w:rsidP="00041507">
            <w:pPr>
              <w:ind w:right="284"/>
              <w:jc w:val="both"/>
              <w:rPr>
                <w:rFonts w:ascii="Lato" w:hAnsi="Lato"/>
                <w:szCs w:val="20"/>
              </w:rPr>
            </w:pPr>
          </w:p>
          <w:p w14:paraId="4F35648E" w14:textId="77777777" w:rsidR="00041507" w:rsidRPr="0076631F" w:rsidRDefault="00041507" w:rsidP="00041507">
            <w:pPr>
              <w:ind w:right="284"/>
              <w:rPr>
                <w:rFonts w:ascii="Lato" w:hAnsi="Lato"/>
                <w:szCs w:val="20"/>
              </w:rPr>
            </w:pPr>
            <w:r w:rsidRPr="0076631F">
              <w:rPr>
                <w:rFonts w:ascii="Lato" w:hAnsi="Lato"/>
                <w:szCs w:val="20"/>
              </w:rPr>
              <w:t>(a) the individual has a material interest in the intermediary, or</w:t>
            </w:r>
          </w:p>
          <w:p w14:paraId="4E5F8216" w14:textId="77777777" w:rsidR="00041507" w:rsidRPr="0076631F" w:rsidRDefault="00041507" w:rsidP="00041507">
            <w:pPr>
              <w:ind w:right="284"/>
              <w:rPr>
                <w:rFonts w:ascii="Lato" w:hAnsi="Lato"/>
                <w:szCs w:val="20"/>
              </w:rPr>
            </w:pPr>
            <w:r w:rsidRPr="0076631F">
              <w:rPr>
                <w:rFonts w:ascii="Lato" w:hAnsi="Lato"/>
                <w:szCs w:val="20"/>
              </w:rPr>
              <w:t>(b) (</w:t>
            </w:r>
            <w:proofErr w:type="spellStart"/>
            <w:r w:rsidRPr="0076631F">
              <w:rPr>
                <w:rFonts w:ascii="Lato" w:hAnsi="Lato"/>
                <w:szCs w:val="20"/>
              </w:rPr>
              <w:t>i</w:t>
            </w:r>
            <w:proofErr w:type="spellEnd"/>
            <w:r w:rsidRPr="0076631F">
              <w:rPr>
                <w:rFonts w:ascii="Lato" w:hAnsi="Lato"/>
                <w:szCs w:val="20"/>
              </w:rPr>
              <w:t>) the payment received is received directly from the intermediary, and (ii) can reasonably be taken to represent remuneration for services provided by the worker to the client.</w:t>
            </w:r>
          </w:p>
          <w:p w14:paraId="410E726A" w14:textId="77777777" w:rsidR="00041507" w:rsidRPr="0076631F" w:rsidRDefault="00041507" w:rsidP="00041507">
            <w:pPr>
              <w:ind w:left="720" w:right="284"/>
              <w:rPr>
                <w:rFonts w:ascii="Lato" w:hAnsi="Lato"/>
                <w:szCs w:val="20"/>
              </w:rPr>
            </w:pPr>
          </w:p>
          <w:p w14:paraId="62481FFA" w14:textId="77777777" w:rsidR="00041507" w:rsidRPr="0076631F" w:rsidRDefault="00041507" w:rsidP="00041507">
            <w:pPr>
              <w:ind w:right="284"/>
              <w:rPr>
                <w:rFonts w:ascii="Lato" w:hAnsi="Lato"/>
                <w:szCs w:val="20"/>
              </w:rPr>
            </w:pPr>
            <w:r w:rsidRPr="0076631F">
              <w:rPr>
                <w:rFonts w:ascii="Lato" w:hAnsi="Lato"/>
                <w:szCs w:val="20"/>
              </w:rPr>
              <w:t xml:space="preserve">Material </w:t>
            </w:r>
            <w:r>
              <w:rPr>
                <w:rFonts w:ascii="Lato" w:hAnsi="Lato"/>
                <w:szCs w:val="20"/>
              </w:rPr>
              <w:t>i</w:t>
            </w:r>
            <w:r w:rsidRPr="0076631F">
              <w:rPr>
                <w:rFonts w:ascii="Lato" w:hAnsi="Lato"/>
                <w:szCs w:val="20"/>
              </w:rPr>
              <w:t xml:space="preserve">nterest means: </w:t>
            </w:r>
          </w:p>
          <w:p w14:paraId="03FFA100" w14:textId="77777777" w:rsidR="00041507" w:rsidRPr="0076631F" w:rsidRDefault="00041507" w:rsidP="00041507">
            <w:pPr>
              <w:numPr>
                <w:ilvl w:val="0"/>
                <w:numId w:val="40"/>
              </w:numPr>
              <w:ind w:left="360" w:right="284"/>
              <w:rPr>
                <w:rFonts w:ascii="Lato" w:hAnsi="Lato"/>
                <w:szCs w:val="20"/>
              </w:rPr>
            </w:pPr>
            <w:r w:rsidRPr="0076631F">
              <w:rPr>
                <w:rFonts w:ascii="Lato" w:hAnsi="Lato"/>
                <w:szCs w:val="20"/>
              </w:rPr>
              <w:t>Section 51 – in relation to a company, the individual owns, controls or has a beneficial interest in more than 5% the shares; or</w:t>
            </w:r>
          </w:p>
          <w:p w14:paraId="00D0350D" w14:textId="55E4DAF4" w:rsidR="00041507" w:rsidRPr="0076631F" w:rsidRDefault="00041507" w:rsidP="00041507">
            <w:pPr>
              <w:numPr>
                <w:ilvl w:val="0"/>
                <w:numId w:val="40"/>
              </w:numPr>
              <w:ind w:left="360" w:right="284"/>
              <w:rPr>
                <w:rFonts w:ascii="Lato" w:hAnsi="Lato"/>
                <w:szCs w:val="20"/>
              </w:rPr>
            </w:pPr>
            <w:r w:rsidRPr="0076631F">
              <w:rPr>
                <w:rFonts w:ascii="Lato" w:hAnsi="Lato"/>
                <w:szCs w:val="20"/>
              </w:rPr>
              <w:t xml:space="preserve">Section 52 – in relation to a partnership, s/he is entitled to </w:t>
            </w:r>
            <w:r w:rsidR="00F77E5C">
              <w:rPr>
                <w:rFonts w:ascii="Lato" w:hAnsi="Lato"/>
                <w:szCs w:val="20"/>
              </w:rPr>
              <w:t xml:space="preserve">60% or </w:t>
            </w:r>
            <w:r w:rsidRPr="0076631F">
              <w:rPr>
                <w:rFonts w:ascii="Lato" w:hAnsi="Lato"/>
                <w:szCs w:val="20"/>
              </w:rPr>
              <w:t>more of the profits of the partnership; or</w:t>
            </w:r>
          </w:p>
          <w:p w14:paraId="4E8FE21A" w14:textId="77777777" w:rsidR="00041507" w:rsidRPr="0076631F" w:rsidRDefault="00041507" w:rsidP="00041507">
            <w:pPr>
              <w:numPr>
                <w:ilvl w:val="0"/>
                <w:numId w:val="40"/>
              </w:numPr>
              <w:ind w:left="360" w:right="284"/>
              <w:rPr>
                <w:rFonts w:ascii="Lato" w:hAnsi="Lato"/>
                <w:szCs w:val="20"/>
              </w:rPr>
            </w:pPr>
            <w:r w:rsidRPr="0076631F">
              <w:rPr>
                <w:rFonts w:ascii="Lato" w:hAnsi="Lato"/>
                <w:szCs w:val="20"/>
              </w:rPr>
              <w:t>Section 53 – in relation to a sole trader, that payment received is reasonably to be taken as remuneration for services provided by the sole trader to the client.</w:t>
            </w:r>
          </w:p>
          <w:p w14:paraId="00E1EA00" w14:textId="77777777" w:rsidR="00041507" w:rsidRPr="0076631F" w:rsidRDefault="00041507" w:rsidP="00041507">
            <w:pPr>
              <w:ind w:right="284"/>
              <w:rPr>
                <w:rFonts w:ascii="Lato" w:hAnsi="Lato"/>
                <w:b/>
                <w:szCs w:val="20"/>
              </w:rPr>
            </w:pPr>
          </w:p>
          <w:p w14:paraId="75DAA5D0" w14:textId="30926A7F" w:rsidR="00041507" w:rsidRPr="00A3413E" w:rsidRDefault="00041507" w:rsidP="00041507">
            <w:pPr>
              <w:ind w:right="284"/>
              <w:rPr>
                <w:rFonts w:ascii="Lato" w:hAnsi="Lato"/>
                <w:bCs/>
                <w:szCs w:val="20"/>
              </w:rPr>
            </w:pPr>
            <w:r w:rsidRPr="00A3413E">
              <w:rPr>
                <w:rFonts w:ascii="Lato" w:hAnsi="Lato"/>
                <w:szCs w:val="20"/>
              </w:rPr>
              <w:t xml:space="preserve">The text in </w:t>
            </w:r>
            <w:r w:rsidRPr="00A3413E">
              <w:rPr>
                <w:rFonts w:ascii="Lato" w:hAnsi="Lato"/>
                <w:bCs/>
                <w:szCs w:val="20"/>
              </w:rPr>
              <w:t>Section 50(1)(</w:t>
            </w:r>
            <w:r>
              <w:rPr>
                <w:rFonts w:ascii="Lato" w:hAnsi="Lato"/>
                <w:bCs/>
                <w:szCs w:val="20"/>
              </w:rPr>
              <w:t>b)</w:t>
            </w:r>
            <w:r w:rsidRPr="00A3413E">
              <w:rPr>
                <w:rFonts w:ascii="Lato" w:hAnsi="Lato"/>
                <w:bCs/>
                <w:szCs w:val="20"/>
              </w:rPr>
              <w:t xml:space="preserve"> </w:t>
            </w:r>
            <w:proofErr w:type="spellStart"/>
            <w:r w:rsidRPr="00A3413E">
              <w:rPr>
                <w:rFonts w:ascii="Lato" w:hAnsi="Lato"/>
                <w:bCs/>
                <w:szCs w:val="20"/>
              </w:rPr>
              <w:t>ITEPA</w:t>
            </w:r>
            <w:proofErr w:type="spellEnd"/>
            <w:r w:rsidRPr="00A3413E">
              <w:rPr>
                <w:rFonts w:ascii="Lato" w:hAnsi="Lato"/>
                <w:bCs/>
                <w:szCs w:val="20"/>
              </w:rPr>
              <w:t xml:space="preserve"> </w:t>
            </w:r>
            <w:r w:rsidRPr="00A3413E">
              <w:rPr>
                <w:rFonts w:ascii="Lato" w:hAnsi="Lato"/>
                <w:szCs w:val="20"/>
              </w:rPr>
              <w:t xml:space="preserve">was introduced by the Finance Act 2020 and is intended to </w:t>
            </w:r>
            <w:r w:rsidR="00D6042E">
              <w:rPr>
                <w:rFonts w:ascii="Lato" w:hAnsi="Lato"/>
                <w:szCs w:val="20"/>
              </w:rPr>
              <w:t xml:space="preserve">Temporary Resources from </w:t>
            </w:r>
            <w:r w:rsidRPr="00A3413E">
              <w:rPr>
                <w:rFonts w:ascii="Lato" w:hAnsi="Lato"/>
                <w:szCs w:val="20"/>
              </w:rPr>
              <w:t xml:space="preserve">working through contrived arrangements. </w:t>
            </w:r>
          </w:p>
          <w:p w14:paraId="149C4D73" w14:textId="77777777" w:rsidR="002D6728" w:rsidRPr="00CD127A" w:rsidRDefault="002D6728" w:rsidP="002D6728">
            <w:pPr>
              <w:pStyle w:val="BodyText"/>
            </w:pPr>
          </w:p>
          <w:p w14:paraId="5DEEC0C9" w14:textId="4B5FA8B6" w:rsidR="002D6728" w:rsidRPr="00CD127A" w:rsidRDefault="002D6728" w:rsidP="001C35DF">
            <w:pPr>
              <w:pStyle w:val="BodyText"/>
            </w:pPr>
            <w:r w:rsidRPr="00CD127A">
              <w:t xml:space="preserve">One of these conditions of liability must be met </w:t>
            </w:r>
            <w:r w:rsidR="00EA12AD" w:rsidRPr="00CD127A">
              <w:t>to</w:t>
            </w:r>
            <w:r w:rsidRPr="00CD127A">
              <w:t xml:space="preserve"> apply the IR35 rules in the first place. </w:t>
            </w:r>
            <w:r w:rsidR="001C35DF">
              <w:t xml:space="preserve"> </w:t>
            </w:r>
          </w:p>
        </w:tc>
      </w:tr>
      <w:tr w:rsidR="00A524BF" w14:paraId="052A335A" w14:textId="77777777" w:rsidTr="001C3C6E">
        <w:tc>
          <w:tcPr>
            <w:tcW w:w="1250" w:type="dxa"/>
          </w:tcPr>
          <w:p w14:paraId="73B1B8FA" w14:textId="77777777" w:rsidR="00A524BF" w:rsidRPr="00661B5F" w:rsidRDefault="00A524BF" w:rsidP="00FE28C9">
            <w:pPr>
              <w:pStyle w:val="BodyText"/>
              <w:numPr>
                <w:ilvl w:val="0"/>
                <w:numId w:val="22"/>
              </w:numPr>
            </w:pPr>
          </w:p>
        </w:tc>
        <w:tc>
          <w:tcPr>
            <w:tcW w:w="2588" w:type="dxa"/>
          </w:tcPr>
          <w:p w14:paraId="66CCFDAF" w14:textId="77777777" w:rsidR="00A524BF" w:rsidRPr="00FE1620" w:rsidRDefault="00A524BF" w:rsidP="001C3C6E">
            <w:pPr>
              <w:pStyle w:val="BodyText"/>
            </w:pPr>
            <w:r w:rsidRPr="00FE1620">
              <w:t>1 (Definitions)</w:t>
            </w:r>
          </w:p>
          <w:p w14:paraId="612D1B35" w14:textId="77777777" w:rsidR="00A524BF" w:rsidRPr="00FE1620" w:rsidRDefault="00A524BF" w:rsidP="001C3C6E">
            <w:pPr>
              <w:pStyle w:val="BodyText"/>
            </w:pPr>
            <w:r w:rsidRPr="00FE1620">
              <w:t>“NICs Legislation”</w:t>
            </w:r>
          </w:p>
          <w:p w14:paraId="04123301" w14:textId="77777777" w:rsidR="00A524BF" w:rsidRPr="00FE1620" w:rsidRDefault="00A524BF" w:rsidP="001C3C6E">
            <w:pPr>
              <w:pStyle w:val="BodyText"/>
            </w:pPr>
          </w:p>
        </w:tc>
        <w:tc>
          <w:tcPr>
            <w:tcW w:w="5178" w:type="dxa"/>
          </w:tcPr>
          <w:p w14:paraId="493B5B4B" w14:textId="11521138" w:rsidR="00A524BF" w:rsidRPr="00C12072" w:rsidRDefault="00A524BF" w:rsidP="001C3C6E">
            <w:pPr>
              <w:pStyle w:val="BodyText"/>
            </w:pPr>
            <w:r w:rsidRPr="00CD127A">
              <w:t xml:space="preserve">The Social Security (Miscellaneous Amendments No. 2) Regulations 2017 amend the and the Social Security Contributions (Intermediaries) Regulations 2000 and require the deduction of employee’s national insurance contributions when assignment is an Inside IR35 assignment. </w:t>
            </w:r>
          </w:p>
        </w:tc>
      </w:tr>
      <w:tr w:rsidR="00A524BF" w14:paraId="3EFCA69A" w14:textId="77777777" w:rsidTr="001C3C6E">
        <w:tc>
          <w:tcPr>
            <w:tcW w:w="1250" w:type="dxa"/>
          </w:tcPr>
          <w:p w14:paraId="400528F9" w14:textId="77777777" w:rsidR="00A524BF" w:rsidRPr="00661B5F" w:rsidRDefault="00A524BF" w:rsidP="00FE28C9">
            <w:pPr>
              <w:pStyle w:val="BodyText"/>
              <w:numPr>
                <w:ilvl w:val="0"/>
                <w:numId w:val="22"/>
              </w:numPr>
            </w:pPr>
          </w:p>
        </w:tc>
        <w:tc>
          <w:tcPr>
            <w:tcW w:w="2588" w:type="dxa"/>
          </w:tcPr>
          <w:p w14:paraId="48A2FF2A" w14:textId="77777777" w:rsidR="00A524BF" w:rsidRPr="00FE1620" w:rsidRDefault="00A524BF" w:rsidP="001C3C6E">
            <w:pPr>
              <w:pStyle w:val="BodyText"/>
            </w:pPr>
            <w:r w:rsidRPr="00FE1620">
              <w:t>1 (Definitions)</w:t>
            </w:r>
          </w:p>
          <w:p w14:paraId="2101A1D0" w14:textId="49ECCB59" w:rsidR="00A524BF" w:rsidRPr="00FE1620" w:rsidRDefault="00A524BF" w:rsidP="001C3C6E">
            <w:pPr>
              <w:pStyle w:val="BodyText"/>
            </w:pPr>
            <w:r w:rsidRPr="00FE1620">
              <w:t>“Off-</w:t>
            </w:r>
            <w:r w:rsidR="007F0049" w:rsidRPr="00FE1620">
              <w:t>P</w:t>
            </w:r>
            <w:r w:rsidRPr="00FE1620">
              <w:t xml:space="preserve">ayroll </w:t>
            </w:r>
            <w:r w:rsidR="007F0049" w:rsidRPr="00FE1620">
              <w:t>Rules</w:t>
            </w:r>
            <w:r w:rsidRPr="00FE1620">
              <w:t xml:space="preserve">” </w:t>
            </w:r>
          </w:p>
        </w:tc>
        <w:tc>
          <w:tcPr>
            <w:tcW w:w="5178" w:type="dxa"/>
          </w:tcPr>
          <w:p w14:paraId="6616CBE4" w14:textId="5A732CC9" w:rsidR="00A524BF" w:rsidRPr="00CD127A" w:rsidRDefault="00A524BF" w:rsidP="001C3C6E">
            <w:pPr>
              <w:pStyle w:val="BodyText"/>
            </w:pPr>
            <w:r w:rsidRPr="00CD127A">
              <w:t xml:space="preserve">The off-payroll rules (aka IR35 or the </w:t>
            </w:r>
            <w:r w:rsidR="002541EE" w:rsidRPr="00CD127A">
              <w:t>intermediary’s</w:t>
            </w:r>
            <w:r w:rsidRPr="00CD127A">
              <w:t xml:space="preserve"> legislation) apply where an individual provides their service</w:t>
            </w:r>
            <w:r w:rsidR="00A77A38">
              <w:t>s</w:t>
            </w:r>
            <w:r w:rsidRPr="00CD127A">
              <w:t xml:space="preserve"> through an intermediary, i.e. they are not on the payroll of the client to whom they provide their services. </w:t>
            </w:r>
          </w:p>
          <w:p w14:paraId="1398E5B0" w14:textId="77777777" w:rsidR="00A524BF" w:rsidRPr="00CD127A" w:rsidRDefault="00A524BF" w:rsidP="001C3C6E">
            <w:pPr>
              <w:pStyle w:val="BodyText"/>
            </w:pPr>
          </w:p>
          <w:p w14:paraId="6BB04E14" w14:textId="5194A0EE" w:rsidR="00A524BF" w:rsidRPr="00CD127A" w:rsidRDefault="00A524BF" w:rsidP="001C3C6E">
            <w:pPr>
              <w:pStyle w:val="BodyText"/>
            </w:pPr>
            <w:r w:rsidRPr="00CD127A">
              <w:t xml:space="preserve">The rules are set out in </w:t>
            </w:r>
            <w:r w:rsidR="00FD5636">
              <w:t xml:space="preserve">Part 2, </w:t>
            </w:r>
            <w:r w:rsidRPr="00CD127A">
              <w:t>Chapter</w:t>
            </w:r>
            <w:r w:rsidR="00F73649">
              <w:t xml:space="preserve"> </w:t>
            </w:r>
            <w:r w:rsidRPr="00CD127A">
              <w:t xml:space="preserve">10 </w:t>
            </w:r>
            <w:proofErr w:type="spellStart"/>
            <w:r w:rsidRPr="00CD127A">
              <w:t>ITEPA</w:t>
            </w:r>
            <w:proofErr w:type="spellEnd"/>
            <w:r w:rsidRPr="00CD127A">
              <w:t xml:space="preserve">.  </w:t>
            </w:r>
          </w:p>
          <w:p w14:paraId="65B0377F" w14:textId="77777777" w:rsidR="00A524BF" w:rsidRPr="00CD127A" w:rsidRDefault="00A524BF" w:rsidP="001C3C6E">
            <w:pPr>
              <w:pStyle w:val="BodyText"/>
            </w:pPr>
          </w:p>
          <w:p w14:paraId="68643DE7" w14:textId="4632099A" w:rsidR="00A524BF" w:rsidRDefault="00A524BF" w:rsidP="001C3C6E">
            <w:pPr>
              <w:pStyle w:val="BodyText"/>
            </w:pPr>
            <w:r w:rsidRPr="00CD127A">
              <w:t xml:space="preserve">Chapter 10 applies when the client is not an Exempt Organisation – </w:t>
            </w:r>
            <w:r w:rsidR="00BA3648">
              <w:t xml:space="preserve">this means that </w:t>
            </w:r>
            <w:r w:rsidRPr="00CD127A">
              <w:t>the client must determine the tax status of the individual providing their services through the intermediary and pass its decision to the party it has a contract with.  The fee-payer, i.e. the party which has a contract with the Intermediary, must deduct PAYE tax and NICs, and pay employers’ N</w:t>
            </w:r>
            <w:r w:rsidR="00BA3648">
              <w:t>I</w:t>
            </w:r>
            <w:r w:rsidRPr="00CD127A">
              <w:t xml:space="preserve">Cs if the </w:t>
            </w:r>
            <w:r w:rsidR="0046324C">
              <w:t>PSC</w:t>
            </w:r>
            <w:r w:rsidRPr="00CD127A">
              <w:t xml:space="preserve"> determines that the assignment is “Inside IR35”.  </w:t>
            </w:r>
          </w:p>
          <w:p w14:paraId="07BCBFDE" w14:textId="77777777" w:rsidR="00F73649" w:rsidRDefault="00F73649" w:rsidP="001C3C6E">
            <w:pPr>
              <w:pStyle w:val="BodyText"/>
            </w:pPr>
          </w:p>
          <w:p w14:paraId="56A97BBB" w14:textId="6BC97D9C" w:rsidR="00F73649" w:rsidRPr="00C12072" w:rsidRDefault="00F73649" w:rsidP="00A14D0B">
            <w:pPr>
              <w:pStyle w:val="BodyText"/>
            </w:pPr>
            <w:r w:rsidRPr="00CD127A">
              <w:t xml:space="preserve">Chapter 8 applies when the client is an Exempt </w:t>
            </w:r>
            <w:r>
              <w:t>Organisation</w:t>
            </w:r>
            <w:r w:rsidRPr="00CD127A">
              <w:t xml:space="preserve"> – </w:t>
            </w:r>
            <w:r>
              <w:t xml:space="preserve">this means that </w:t>
            </w:r>
            <w:r w:rsidRPr="00CD127A">
              <w:t xml:space="preserve">the </w:t>
            </w:r>
            <w:r>
              <w:t>PSC</w:t>
            </w:r>
            <w:r w:rsidRPr="00CD127A">
              <w:t xml:space="preserve"> </w:t>
            </w:r>
            <w:r>
              <w:t>will continue to be</w:t>
            </w:r>
            <w:r w:rsidRPr="00CD127A">
              <w:t xml:space="preserve"> responsible for assessing tax status and managing deductions accordingly</w:t>
            </w:r>
            <w:r>
              <w:t xml:space="preserve"> (as they are now)</w:t>
            </w:r>
            <w:r w:rsidRPr="00CD127A">
              <w:t xml:space="preserve">.  </w:t>
            </w:r>
          </w:p>
        </w:tc>
      </w:tr>
      <w:tr w:rsidR="00A524BF" w14:paraId="2E5D7659" w14:textId="4AD4BF40" w:rsidTr="002339F4">
        <w:trPr>
          <w:trHeight w:val="4708"/>
        </w:trPr>
        <w:tc>
          <w:tcPr>
            <w:tcW w:w="1250" w:type="dxa"/>
          </w:tcPr>
          <w:p w14:paraId="3184EF8F" w14:textId="4B9A1DC2" w:rsidR="00A524BF" w:rsidRPr="00661B5F" w:rsidRDefault="00A524BF" w:rsidP="00FE28C9">
            <w:pPr>
              <w:pStyle w:val="BodyText"/>
              <w:numPr>
                <w:ilvl w:val="0"/>
                <w:numId w:val="22"/>
              </w:numPr>
            </w:pPr>
          </w:p>
        </w:tc>
        <w:tc>
          <w:tcPr>
            <w:tcW w:w="2588" w:type="dxa"/>
          </w:tcPr>
          <w:p w14:paraId="2AE6ABB3" w14:textId="72746C9F" w:rsidR="00A524BF" w:rsidRPr="00FE1620" w:rsidRDefault="00A524BF" w:rsidP="001C3C6E">
            <w:pPr>
              <w:pStyle w:val="BodyText"/>
            </w:pPr>
            <w:r w:rsidRPr="00FE1620">
              <w:t>1 (Definitions)</w:t>
            </w:r>
          </w:p>
          <w:p w14:paraId="6E55BFBA" w14:textId="77780519" w:rsidR="00A524BF" w:rsidRPr="00FE1620" w:rsidRDefault="00A524BF" w:rsidP="001C3C6E">
            <w:pPr>
              <w:pStyle w:val="BodyText"/>
            </w:pPr>
            <w:r w:rsidRPr="00FE1620">
              <w:t xml:space="preserve">“Outside IR35” </w:t>
            </w:r>
          </w:p>
          <w:p w14:paraId="53E71099" w14:textId="52687B4E" w:rsidR="00A524BF" w:rsidRPr="00FE1620" w:rsidRDefault="00A524BF" w:rsidP="001C3C6E">
            <w:pPr>
              <w:pStyle w:val="BodyText"/>
            </w:pPr>
          </w:p>
        </w:tc>
        <w:tc>
          <w:tcPr>
            <w:tcW w:w="5178" w:type="dxa"/>
          </w:tcPr>
          <w:p w14:paraId="6AA92A45" w14:textId="474CA225" w:rsidR="00A524BF" w:rsidRPr="00BE3012" w:rsidRDefault="00A524BF" w:rsidP="001C3C6E">
            <w:pPr>
              <w:pStyle w:val="BodyText"/>
            </w:pPr>
            <w:r w:rsidRPr="00BE3012">
              <w:t>The assignment will be outside IR35 where</w:t>
            </w:r>
            <w:r w:rsidR="009263EB" w:rsidRPr="00BE3012">
              <w:t>, having</w:t>
            </w:r>
            <w:r w:rsidRPr="00BE3012">
              <w:t xml:space="preserve"> hypothetically remov</w:t>
            </w:r>
            <w:r w:rsidR="009263EB" w:rsidRPr="00BE3012">
              <w:t>ed</w:t>
            </w:r>
            <w:r w:rsidRPr="00BE3012">
              <w:t xml:space="preserve"> the PSC from the supply chain, the </w:t>
            </w:r>
            <w:r w:rsidR="00BA3648" w:rsidRPr="00BE3012">
              <w:t>i</w:t>
            </w:r>
            <w:r w:rsidR="009263EB" w:rsidRPr="00BE3012">
              <w:t xml:space="preserve">ndividual providing services </w:t>
            </w:r>
            <w:r w:rsidRPr="00BE3012">
              <w:t xml:space="preserve">would not be deemed to an employee of the end user client for tax purposes.  </w:t>
            </w:r>
            <w:r w:rsidR="009263EB" w:rsidRPr="00BE3012">
              <w:t xml:space="preserve">When an engagement is </w:t>
            </w:r>
            <w:r w:rsidR="007F0049" w:rsidRPr="00BE3012">
              <w:t>o</w:t>
            </w:r>
            <w:r w:rsidR="009263EB" w:rsidRPr="00BE3012">
              <w:t>utside IR</w:t>
            </w:r>
            <w:r w:rsidR="002541EE" w:rsidRPr="00BE3012">
              <w:t>35, the</w:t>
            </w:r>
            <w:r w:rsidRPr="00BE3012">
              <w:t xml:space="preserve"> PSC is responsible for</w:t>
            </w:r>
            <w:r w:rsidR="009263EB" w:rsidRPr="00BE3012">
              <w:t xml:space="preserve"> its own</w:t>
            </w:r>
            <w:r w:rsidRPr="00BE3012">
              <w:t xml:space="preserve"> tax and NICs.</w:t>
            </w:r>
          </w:p>
          <w:p w14:paraId="31F6CB2A" w14:textId="504C27E2" w:rsidR="00BE3012" w:rsidRPr="00E55D42" w:rsidRDefault="00A524BF" w:rsidP="00BE3012">
            <w:pPr>
              <w:pStyle w:val="NormalWeb"/>
              <w:shd w:val="clear" w:color="auto" w:fill="FFFFFF"/>
              <w:spacing w:before="300" w:beforeAutospacing="0" w:after="300" w:afterAutospacing="0"/>
              <w:rPr>
                <w:rFonts w:ascii="Lato" w:hAnsi="Lato" w:cs="Arial"/>
                <w:color w:val="002060"/>
                <w:sz w:val="20"/>
                <w:szCs w:val="20"/>
              </w:rPr>
            </w:pPr>
            <w:r w:rsidRPr="00BE3012">
              <w:rPr>
                <w:rFonts w:ascii="Lato" w:hAnsi="Lato"/>
                <w:sz w:val="20"/>
                <w:szCs w:val="20"/>
              </w:rPr>
              <w:t xml:space="preserve">Office holder roles are deemed to be Inside IR35 (Section 61M(1)(ii) </w:t>
            </w:r>
            <w:proofErr w:type="spellStart"/>
            <w:r w:rsidRPr="00BE3012">
              <w:rPr>
                <w:rFonts w:ascii="Lato" w:hAnsi="Lato"/>
                <w:sz w:val="20"/>
                <w:szCs w:val="20"/>
              </w:rPr>
              <w:t>ITEPA</w:t>
            </w:r>
            <w:proofErr w:type="spellEnd"/>
            <w:r w:rsidRPr="00BE3012">
              <w:rPr>
                <w:rFonts w:ascii="Lato" w:hAnsi="Lato"/>
                <w:sz w:val="20"/>
                <w:szCs w:val="20"/>
              </w:rPr>
              <w:t xml:space="preserve">). </w:t>
            </w:r>
            <w:r w:rsidR="00BE3012" w:rsidRPr="00E55D42">
              <w:rPr>
                <w:rFonts w:ascii="Lato" w:hAnsi="Lato"/>
                <w:color w:val="002060"/>
                <w:sz w:val="20"/>
                <w:szCs w:val="20"/>
              </w:rPr>
              <w:t xml:space="preserve"> </w:t>
            </w:r>
            <w:r w:rsidR="00BE3012" w:rsidRPr="00E55D42">
              <w:rPr>
                <w:rFonts w:ascii="Lato" w:hAnsi="Lato" w:cs="Arial"/>
                <w:color w:val="002060"/>
                <w:sz w:val="20"/>
                <w:szCs w:val="20"/>
              </w:rPr>
              <w:t>There is no statutory definition of the word ‘office’. It has been defined in case law as a</w:t>
            </w:r>
          </w:p>
          <w:p w14:paraId="63DCDBB4" w14:textId="77DB39FD" w:rsidR="00BE3012" w:rsidRPr="00E55D42" w:rsidRDefault="00BE3012" w:rsidP="00BE3012">
            <w:pPr>
              <w:shd w:val="clear" w:color="auto" w:fill="FFFFFF"/>
              <w:spacing w:before="300" w:after="300"/>
              <w:ind w:left="720"/>
              <w:rPr>
                <w:rFonts w:ascii="Lato" w:eastAsia="Times New Roman" w:hAnsi="Lato" w:cs="Arial"/>
                <w:color w:val="002060"/>
                <w:szCs w:val="20"/>
                <w:lang w:eastAsia="en-GB"/>
              </w:rPr>
            </w:pPr>
            <w:r w:rsidRPr="00BE3012">
              <w:rPr>
                <w:rFonts w:ascii="Lato" w:eastAsia="Times New Roman" w:hAnsi="Lato" w:cs="Arial"/>
                <w:color w:val="002060"/>
                <w:szCs w:val="20"/>
                <w:lang w:eastAsia="en-GB"/>
              </w:rPr>
              <w:t>‘permanent, substantive position which had an existence independent from the person who filled it, which went on and was filled in succession by successive holders.’</w:t>
            </w:r>
          </w:p>
          <w:p w14:paraId="62749AA4" w14:textId="267E61A0" w:rsidR="00A524BF" w:rsidRPr="00BE3012" w:rsidRDefault="00BE3012" w:rsidP="00BE3012">
            <w:pPr>
              <w:shd w:val="clear" w:color="auto" w:fill="FFFFFF"/>
              <w:spacing w:before="300" w:after="300"/>
              <w:rPr>
                <w:rFonts w:ascii="Lato" w:hAnsi="Lato"/>
                <w:szCs w:val="20"/>
              </w:rPr>
            </w:pPr>
            <w:r w:rsidRPr="00E55D42">
              <w:rPr>
                <w:rFonts w:ascii="Lato" w:eastAsia="Times New Roman" w:hAnsi="Lato" w:cs="Arial"/>
                <w:color w:val="002060"/>
                <w:szCs w:val="20"/>
                <w:lang w:eastAsia="en-GB"/>
              </w:rPr>
              <w:t xml:space="preserve">For more </w:t>
            </w:r>
            <w:r w:rsidR="00E55D42">
              <w:rPr>
                <w:rFonts w:ascii="Lato" w:eastAsia="Times New Roman" w:hAnsi="Lato" w:cs="Arial"/>
                <w:color w:val="002060"/>
                <w:szCs w:val="20"/>
                <w:lang w:eastAsia="en-GB"/>
              </w:rPr>
              <w:t>i</w:t>
            </w:r>
            <w:r w:rsidRPr="00E55D42">
              <w:rPr>
                <w:rFonts w:ascii="Lato" w:eastAsia="Times New Roman" w:hAnsi="Lato" w:cs="Arial"/>
                <w:color w:val="002060"/>
                <w:szCs w:val="20"/>
                <w:lang w:eastAsia="en-GB"/>
              </w:rPr>
              <w:t>nformation on office holders see HMRC's</w:t>
            </w:r>
            <w:r>
              <w:rPr>
                <w:rFonts w:ascii="Lato" w:eastAsia="Times New Roman" w:hAnsi="Lato" w:cs="Arial"/>
                <w:color w:val="0B0C0C"/>
                <w:szCs w:val="20"/>
                <w:lang w:eastAsia="en-GB"/>
              </w:rPr>
              <w:t xml:space="preserve"> </w:t>
            </w:r>
            <w:hyperlink r:id="rId31" w:history="1">
              <w:r w:rsidRPr="00BE3012">
                <w:rPr>
                  <w:rStyle w:val="Hyperlink"/>
                  <w:rFonts w:ascii="Lato" w:eastAsia="Times New Roman" w:hAnsi="Lato" w:cs="Arial"/>
                  <w:color w:val="36BEAE" w:themeColor="text2"/>
                  <w:szCs w:val="20"/>
                  <w:lang w:eastAsia="en-GB"/>
                </w:rPr>
                <w:t>ESM 2500</w:t>
              </w:r>
            </w:hyperlink>
            <w:r>
              <w:rPr>
                <w:rFonts w:ascii="Lato" w:eastAsia="Times New Roman" w:hAnsi="Lato" w:cs="Arial"/>
                <w:color w:val="0B0C0C"/>
                <w:szCs w:val="20"/>
                <w:lang w:eastAsia="en-GB"/>
              </w:rPr>
              <w:t xml:space="preserve">. </w:t>
            </w:r>
          </w:p>
        </w:tc>
      </w:tr>
      <w:tr w:rsidR="00A524BF" w14:paraId="0947B8BB" w14:textId="77777777" w:rsidTr="001C3C6E">
        <w:tc>
          <w:tcPr>
            <w:tcW w:w="1250" w:type="dxa"/>
          </w:tcPr>
          <w:p w14:paraId="2314B0F8" w14:textId="77777777" w:rsidR="00A524BF" w:rsidRPr="00661B5F" w:rsidRDefault="00A524BF" w:rsidP="00FE28C9">
            <w:pPr>
              <w:pStyle w:val="BodyText"/>
              <w:numPr>
                <w:ilvl w:val="0"/>
                <w:numId w:val="22"/>
              </w:numPr>
            </w:pPr>
          </w:p>
        </w:tc>
        <w:tc>
          <w:tcPr>
            <w:tcW w:w="2588" w:type="dxa"/>
          </w:tcPr>
          <w:p w14:paraId="1818BCA9" w14:textId="77777777" w:rsidR="00A524BF" w:rsidRPr="00E947B1" w:rsidRDefault="00A524BF" w:rsidP="001C3C6E">
            <w:pPr>
              <w:pStyle w:val="BodyText"/>
              <w:rPr>
                <w:iCs/>
              </w:rPr>
            </w:pPr>
            <w:r w:rsidRPr="00E947B1">
              <w:rPr>
                <w:iCs/>
              </w:rPr>
              <w:t>1 (Definitions)</w:t>
            </w:r>
          </w:p>
          <w:p w14:paraId="080A4FF4" w14:textId="77777777" w:rsidR="00A524BF" w:rsidRPr="00E947B1" w:rsidRDefault="00A524BF" w:rsidP="001C3C6E">
            <w:pPr>
              <w:pStyle w:val="BodyText"/>
              <w:rPr>
                <w:iCs/>
              </w:rPr>
            </w:pPr>
            <w:r w:rsidRPr="00E947B1">
              <w:rPr>
                <w:iCs/>
              </w:rPr>
              <w:t>“Qualifying Period”</w:t>
            </w:r>
          </w:p>
          <w:p w14:paraId="6BD5D86F" w14:textId="77777777" w:rsidR="00A524BF" w:rsidRPr="00FE1620" w:rsidRDefault="00A524BF" w:rsidP="001C3C6E">
            <w:pPr>
              <w:pStyle w:val="BodyText"/>
            </w:pPr>
          </w:p>
        </w:tc>
        <w:tc>
          <w:tcPr>
            <w:tcW w:w="5178" w:type="dxa"/>
          </w:tcPr>
          <w:p w14:paraId="40BD3CDA" w14:textId="2A4CC279" w:rsidR="003C0C42" w:rsidRDefault="003C0C42" w:rsidP="001C3C6E">
            <w:pPr>
              <w:pStyle w:val="BodyText"/>
              <w:rPr>
                <w:b/>
                <w:bCs/>
              </w:rPr>
            </w:pPr>
            <w:r w:rsidRPr="00B96D36">
              <w:rPr>
                <w:b/>
                <w:bCs/>
              </w:rPr>
              <w:lastRenderedPageBreak/>
              <w:t xml:space="preserve">When the </w:t>
            </w:r>
            <w:proofErr w:type="spellStart"/>
            <w:r>
              <w:rPr>
                <w:b/>
                <w:bCs/>
              </w:rPr>
              <w:t>AWR</w:t>
            </w:r>
            <w:proofErr w:type="spellEnd"/>
            <w:r w:rsidRPr="00B96D36">
              <w:rPr>
                <w:b/>
                <w:bCs/>
              </w:rPr>
              <w:t xml:space="preserve"> apply:</w:t>
            </w:r>
          </w:p>
          <w:p w14:paraId="071C3BA4" w14:textId="77777777" w:rsidR="003C0C42" w:rsidRDefault="003C0C42" w:rsidP="001C3C6E">
            <w:pPr>
              <w:pStyle w:val="BodyText"/>
              <w:rPr>
                <w:b/>
                <w:bCs/>
              </w:rPr>
            </w:pPr>
          </w:p>
          <w:p w14:paraId="0EA9EBBB" w14:textId="36D43C5B" w:rsidR="00A524BF" w:rsidRPr="002541EE" w:rsidRDefault="00A524BF" w:rsidP="001C3C6E">
            <w:pPr>
              <w:pStyle w:val="BodyText"/>
              <w:rPr>
                <w:b/>
                <w:bCs/>
              </w:rPr>
            </w:pPr>
            <w:r w:rsidRPr="002541EE">
              <w:rPr>
                <w:b/>
                <w:bCs/>
              </w:rPr>
              <w:lastRenderedPageBreak/>
              <w:t xml:space="preserve">General principles: </w:t>
            </w:r>
          </w:p>
          <w:p w14:paraId="504BDA0C" w14:textId="3157F847" w:rsidR="00A524BF" w:rsidRPr="00CD127A" w:rsidRDefault="00A524BF" w:rsidP="001C3C6E">
            <w:pPr>
              <w:pStyle w:val="BodyText"/>
            </w:pPr>
            <w:r w:rsidRPr="00CD127A">
              <w:t xml:space="preserve">Regulation </w:t>
            </w:r>
            <w:r w:rsidR="00B75104">
              <w:t>7</w:t>
            </w:r>
            <w:r w:rsidRPr="00CD127A">
              <w:t xml:space="preserve"> of the </w:t>
            </w:r>
            <w:proofErr w:type="spellStart"/>
            <w:r w:rsidRPr="00CD127A">
              <w:t>AWR</w:t>
            </w:r>
            <w:proofErr w:type="spellEnd"/>
            <w:r w:rsidRPr="00CD127A">
              <w:t xml:space="preserve"> provides that an </w:t>
            </w:r>
            <w:r w:rsidR="00304D2E">
              <w:t>Agency Worker</w:t>
            </w:r>
            <w:r w:rsidRPr="00CD127A">
              <w:t xml:space="preserve"> who completes the Qualifying Period will be entitled to the Relevant Terms and Conditions. Regulation 7 provides that an </w:t>
            </w:r>
            <w:r w:rsidR="00304D2E">
              <w:t>Agency Worker</w:t>
            </w:r>
            <w:r w:rsidRPr="00CD127A">
              <w:t xml:space="preserve"> will complete the Qualifying Period when </w:t>
            </w:r>
            <w:r w:rsidR="00476DAA">
              <w:t xml:space="preserve">they </w:t>
            </w:r>
            <w:r w:rsidRPr="00CD127A">
              <w:t>complete</w:t>
            </w:r>
            <w:r w:rsidR="00476DAA">
              <w:t xml:space="preserve"> </w:t>
            </w:r>
            <w:r w:rsidRPr="00CD127A">
              <w:t xml:space="preserve">12 Calendar Weeks on assignment in the same role with the same </w:t>
            </w:r>
            <w:r w:rsidR="007F0049">
              <w:t>c</w:t>
            </w:r>
            <w:r w:rsidRPr="00CD127A">
              <w:t xml:space="preserve">lient. </w:t>
            </w:r>
          </w:p>
          <w:p w14:paraId="08F8E05F" w14:textId="77777777" w:rsidR="00A524BF" w:rsidRPr="00CD127A" w:rsidRDefault="00A524BF" w:rsidP="001C3C6E">
            <w:pPr>
              <w:pStyle w:val="BodyText"/>
            </w:pPr>
          </w:p>
          <w:p w14:paraId="4EC4401A" w14:textId="44872362" w:rsidR="00A524BF" w:rsidRPr="00CD127A" w:rsidRDefault="00A524BF" w:rsidP="001C3C6E">
            <w:pPr>
              <w:pStyle w:val="BodyText"/>
            </w:pPr>
            <w:r w:rsidRPr="00CD127A">
              <w:t xml:space="preserve">Regulation 7 also provides for </w:t>
            </w:r>
            <w:r w:rsidR="00E10604">
              <w:t>an</w:t>
            </w:r>
            <w:r w:rsidR="00E10604" w:rsidRPr="00CD127A">
              <w:t xml:space="preserve"> </w:t>
            </w:r>
            <w:r w:rsidR="00304D2E">
              <w:t>Agency Worker</w:t>
            </w:r>
            <w:r w:rsidRPr="00CD127A">
              <w:t xml:space="preserve"> to take some breaks during an Assignment. The general rule is that breaks of </w:t>
            </w:r>
            <w:r w:rsidR="00704CBE">
              <w:t>six</w:t>
            </w:r>
            <w:r w:rsidRPr="00CD127A">
              <w:t xml:space="preserve"> weeks or less will only pause the qualifying clock. In certain  circumstances, breaks of more than </w:t>
            </w:r>
            <w:r w:rsidR="00704CBE">
              <w:t>six</w:t>
            </w:r>
            <w:r w:rsidRPr="00CD127A">
              <w:t xml:space="preserve"> weeks will pause but not stop the clock. </w:t>
            </w:r>
          </w:p>
          <w:p w14:paraId="59DC09FF" w14:textId="77777777" w:rsidR="00A524BF" w:rsidRPr="00CD127A" w:rsidRDefault="00A524BF" w:rsidP="001C3C6E">
            <w:pPr>
              <w:pStyle w:val="BodyText"/>
            </w:pPr>
          </w:p>
          <w:p w14:paraId="697872B2" w14:textId="0A142433" w:rsidR="00A524BF" w:rsidRPr="00CD127A" w:rsidRDefault="00A524BF" w:rsidP="001C3C6E">
            <w:pPr>
              <w:pStyle w:val="BodyText"/>
            </w:pPr>
            <w:r w:rsidRPr="00CD127A">
              <w:t xml:space="preserve">There are also certain provisions regarding a break in an assignment during the </w:t>
            </w:r>
            <w:r w:rsidR="007F0049">
              <w:t>p</w:t>
            </w:r>
            <w:r w:rsidRPr="00CD127A">
              <w:t xml:space="preserve">rotected </w:t>
            </w:r>
            <w:r w:rsidR="007F0049">
              <w:t>p</w:t>
            </w:r>
            <w:r w:rsidRPr="00CD127A">
              <w:t xml:space="preserve">eriod for a pregnant </w:t>
            </w:r>
            <w:r w:rsidR="00304D2E">
              <w:t>Agency Worker</w:t>
            </w:r>
            <w:r w:rsidRPr="00CD127A">
              <w:t>.</w:t>
            </w:r>
          </w:p>
          <w:p w14:paraId="4CD5088E" w14:textId="77777777" w:rsidR="00A524BF" w:rsidRPr="00CD127A" w:rsidRDefault="00A524BF" w:rsidP="001C3C6E">
            <w:pPr>
              <w:pStyle w:val="BodyText"/>
            </w:pPr>
          </w:p>
          <w:p w14:paraId="23B60D06" w14:textId="77777777" w:rsidR="00A524BF" w:rsidRPr="001B0081" w:rsidRDefault="00A524BF" w:rsidP="001C3C6E">
            <w:pPr>
              <w:pStyle w:val="BodyText"/>
              <w:rPr>
                <w:b/>
                <w:bCs/>
              </w:rPr>
            </w:pPr>
            <w:r w:rsidRPr="001B0081">
              <w:rPr>
                <w:b/>
                <w:bCs/>
              </w:rPr>
              <w:t xml:space="preserve">Calculating the qualifying clock: </w:t>
            </w:r>
          </w:p>
          <w:p w14:paraId="1A1E6611" w14:textId="77777777" w:rsidR="00A524BF" w:rsidRPr="00CD127A" w:rsidRDefault="00A524BF" w:rsidP="001C3C6E">
            <w:pPr>
              <w:pStyle w:val="BodyText"/>
            </w:pPr>
          </w:p>
          <w:p w14:paraId="1B3E4736" w14:textId="4CC3D59F" w:rsidR="00A524BF" w:rsidRPr="00CD127A" w:rsidRDefault="001B0081" w:rsidP="001C3C6E">
            <w:pPr>
              <w:pStyle w:val="BodyText"/>
            </w:pPr>
            <w:r>
              <w:t>W</w:t>
            </w:r>
            <w:r w:rsidR="00A524BF" w:rsidRPr="00CD127A">
              <w:t>hen calculating whether any weeks completed with the Client count as continuous towards the Qualifying Period, where:</w:t>
            </w:r>
          </w:p>
          <w:p w14:paraId="0B60A052" w14:textId="7A882B75" w:rsidR="00B04FF8" w:rsidRPr="00B04FF8" w:rsidRDefault="00A524BF" w:rsidP="00B04FF8">
            <w:pPr>
              <w:pStyle w:val="BodyText"/>
              <w:numPr>
                <w:ilvl w:val="0"/>
                <w:numId w:val="27"/>
              </w:numPr>
            </w:pPr>
            <w:r w:rsidRPr="00CD127A">
              <w:t xml:space="preserve">the </w:t>
            </w:r>
            <w:r w:rsidR="00304D2E">
              <w:t>Agency Worker</w:t>
            </w:r>
            <w:r w:rsidRPr="00CD127A">
              <w:t xml:space="preserve"> has started working during an assignment and there is a break, either between assignments or during an assignment, when the </w:t>
            </w:r>
            <w:r w:rsidR="00304D2E">
              <w:t>Agency Worker</w:t>
            </w:r>
            <w:r w:rsidRPr="00CD127A">
              <w:t xml:space="preserve"> is not working;</w:t>
            </w:r>
          </w:p>
          <w:p w14:paraId="60053D65" w14:textId="77777777" w:rsidR="00A524BF" w:rsidRPr="00CD127A" w:rsidRDefault="00A524BF" w:rsidP="00FE28C9">
            <w:pPr>
              <w:pStyle w:val="BodyText"/>
              <w:numPr>
                <w:ilvl w:val="0"/>
                <w:numId w:val="27"/>
              </w:numPr>
            </w:pPr>
            <w:r w:rsidRPr="00CD127A">
              <w:t>the break is:</w:t>
            </w:r>
          </w:p>
          <w:p w14:paraId="4411466D" w14:textId="77777777" w:rsidR="00A524BF" w:rsidRPr="00CD127A" w:rsidRDefault="00A524BF" w:rsidP="00FE28C9">
            <w:pPr>
              <w:pStyle w:val="BodyText"/>
              <w:numPr>
                <w:ilvl w:val="0"/>
                <w:numId w:val="28"/>
              </w:numPr>
            </w:pPr>
            <w:r w:rsidRPr="00CD127A">
              <w:t>for any reason and not more than six Calendar Weeks;</w:t>
            </w:r>
          </w:p>
          <w:p w14:paraId="65C78B4D" w14:textId="3A93FEA7" w:rsidR="00A524BF" w:rsidRPr="00CD127A" w:rsidRDefault="00A524BF" w:rsidP="00FE28C9">
            <w:pPr>
              <w:pStyle w:val="BodyText"/>
              <w:numPr>
                <w:ilvl w:val="0"/>
                <w:numId w:val="28"/>
              </w:numPr>
            </w:pPr>
            <w:r w:rsidRPr="00CD127A">
              <w:t>wholly</w:t>
            </w:r>
            <w:r w:rsidR="00B75104">
              <w:t xml:space="preserve"> because</w:t>
            </w:r>
            <w:r w:rsidRPr="00CD127A">
              <w:t xml:space="preserve"> the </w:t>
            </w:r>
            <w:r w:rsidR="00304D2E">
              <w:t>Agency Worker</w:t>
            </w:r>
            <w:r w:rsidRPr="00CD127A">
              <w:t xml:space="preserve"> is incapable of working in consequence of sickness or injury and the break is 28 Calendar Weeks or less; paragraph (iii) does not apply; and, if required to do so by the Employment Business, the </w:t>
            </w:r>
            <w:r w:rsidR="00304D2E">
              <w:t>Agency Worker</w:t>
            </w:r>
            <w:r w:rsidRPr="00CD127A">
              <w:t xml:space="preserve"> has provided such written medical evidence as may reasonably be required;</w:t>
            </w:r>
          </w:p>
          <w:p w14:paraId="333802A8" w14:textId="70F6B502" w:rsidR="00A524BF" w:rsidRPr="00CD127A" w:rsidRDefault="00A524BF" w:rsidP="00FE28C9">
            <w:pPr>
              <w:pStyle w:val="BodyText"/>
              <w:numPr>
                <w:ilvl w:val="0"/>
                <w:numId w:val="28"/>
              </w:numPr>
            </w:pPr>
            <w:r w:rsidRPr="00CD127A">
              <w:t xml:space="preserve">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w:t>
            </w:r>
            <w:r w:rsidR="00304D2E">
              <w:t>Agency Worker</w:t>
            </w:r>
            <w:r w:rsidRPr="00CD127A">
              <w:t xml:space="preserve"> returns to work;</w:t>
            </w:r>
          </w:p>
          <w:p w14:paraId="06CAC046" w14:textId="05F5EB3E" w:rsidR="00A524BF" w:rsidRPr="00CD127A" w:rsidRDefault="00A524BF" w:rsidP="00FE28C9">
            <w:pPr>
              <w:pStyle w:val="BodyText"/>
              <w:numPr>
                <w:ilvl w:val="0"/>
                <w:numId w:val="28"/>
              </w:numPr>
            </w:pPr>
            <w:r w:rsidRPr="00CD127A">
              <w:t xml:space="preserve">wholly for taking time off or leave, whether statutory or contractual, to which the </w:t>
            </w:r>
            <w:r w:rsidR="00304D2E">
              <w:t>Agency Worker</w:t>
            </w:r>
            <w:r w:rsidRPr="00CD127A">
              <w:t xml:space="preserve"> is  entitled which is:</w:t>
            </w:r>
          </w:p>
          <w:p w14:paraId="2B3EFDB8" w14:textId="77777777" w:rsidR="00A524BF" w:rsidRPr="00CD127A" w:rsidRDefault="00A524BF" w:rsidP="00FE28C9">
            <w:pPr>
              <w:pStyle w:val="BodyText"/>
              <w:numPr>
                <w:ilvl w:val="1"/>
                <w:numId w:val="28"/>
              </w:numPr>
            </w:pPr>
            <w:r w:rsidRPr="00CD127A">
              <w:lastRenderedPageBreak/>
              <w:t>ordinary, compulsory or additional maternity leave;</w:t>
            </w:r>
          </w:p>
          <w:p w14:paraId="2A984FD7" w14:textId="77777777" w:rsidR="00A524BF" w:rsidRPr="00CD127A" w:rsidRDefault="00A524BF" w:rsidP="00FE28C9">
            <w:pPr>
              <w:pStyle w:val="BodyText"/>
              <w:numPr>
                <w:ilvl w:val="1"/>
                <w:numId w:val="28"/>
              </w:numPr>
            </w:pPr>
            <w:r w:rsidRPr="00CD127A">
              <w:t>ordinary or additional adoption leave;</w:t>
            </w:r>
          </w:p>
          <w:p w14:paraId="303BB656" w14:textId="77777777" w:rsidR="00A524BF" w:rsidRPr="00CD127A" w:rsidRDefault="00A524BF" w:rsidP="00FE28C9">
            <w:pPr>
              <w:pStyle w:val="BodyText"/>
              <w:numPr>
                <w:ilvl w:val="1"/>
                <w:numId w:val="28"/>
              </w:numPr>
            </w:pPr>
            <w:r w:rsidRPr="00CD127A">
              <w:t xml:space="preserve">ordinary or additional paternity leave;  </w:t>
            </w:r>
          </w:p>
          <w:p w14:paraId="7DCEC2CD" w14:textId="77777777" w:rsidR="00A524BF" w:rsidRPr="00CD127A" w:rsidRDefault="00A524BF" w:rsidP="00FE28C9">
            <w:pPr>
              <w:pStyle w:val="BodyText"/>
              <w:numPr>
                <w:ilvl w:val="1"/>
                <w:numId w:val="28"/>
              </w:numPr>
            </w:pPr>
            <w:r w:rsidRPr="00CD127A">
              <w:t>time off or other leave not listed in paragraphs (iv)</w:t>
            </w:r>
            <w:proofErr w:type="spellStart"/>
            <w:r w:rsidRPr="00CD127A">
              <w:t>i</w:t>
            </w:r>
            <w:proofErr w:type="spellEnd"/>
            <w:r w:rsidRPr="00CD127A">
              <w:t>, ii, or iii above; or</w:t>
            </w:r>
          </w:p>
          <w:p w14:paraId="00143035" w14:textId="77777777" w:rsidR="00A524BF" w:rsidRPr="00CD127A" w:rsidRDefault="00A524BF" w:rsidP="00FE28C9">
            <w:pPr>
              <w:pStyle w:val="BodyText"/>
              <w:numPr>
                <w:ilvl w:val="1"/>
                <w:numId w:val="28"/>
              </w:numPr>
            </w:pPr>
            <w:r w:rsidRPr="00CD127A">
              <w:t>for more than one of the reasons listed in paragraphs (iv)</w:t>
            </w:r>
            <w:proofErr w:type="spellStart"/>
            <w:r w:rsidRPr="00CD127A">
              <w:t>i</w:t>
            </w:r>
            <w:proofErr w:type="spellEnd"/>
            <w:r w:rsidRPr="00CD127A">
              <w:t>, ii, iii to iv above;</w:t>
            </w:r>
          </w:p>
          <w:p w14:paraId="218A0CF0" w14:textId="464E4A31" w:rsidR="00A524BF" w:rsidRPr="00CD127A" w:rsidRDefault="00A524BF" w:rsidP="00FE28C9">
            <w:pPr>
              <w:pStyle w:val="BodyText"/>
              <w:numPr>
                <w:ilvl w:val="0"/>
                <w:numId w:val="28"/>
              </w:numPr>
            </w:pPr>
            <w:r w:rsidRPr="00CD127A">
              <w:t xml:space="preserve">wholly </w:t>
            </w:r>
            <w:r w:rsidR="00B75104">
              <w:t xml:space="preserve">because </w:t>
            </w:r>
            <w:r w:rsidRPr="00CD127A">
              <w:t xml:space="preserve"> the </w:t>
            </w:r>
            <w:r w:rsidR="00304D2E">
              <w:t>Agency Worker</w:t>
            </w:r>
            <w:r w:rsidRPr="00CD127A">
              <w:t xml:space="preserve"> is required to attend at any place in pursuance to being summoned for service as a juror and the break is 28 Calendar Weeks or less;</w:t>
            </w:r>
          </w:p>
          <w:p w14:paraId="481F290E" w14:textId="3EFAD519" w:rsidR="00A524BF" w:rsidRPr="00CD127A" w:rsidRDefault="00A524BF" w:rsidP="00FE28C9">
            <w:pPr>
              <w:pStyle w:val="BodyText"/>
              <w:numPr>
                <w:ilvl w:val="0"/>
                <w:numId w:val="28"/>
              </w:numPr>
            </w:pPr>
            <w:r w:rsidRPr="00CD127A">
              <w:t xml:space="preserve">wholly due to a temporary cessation in the </w:t>
            </w:r>
            <w:r w:rsidR="00E10604">
              <w:t>c</w:t>
            </w:r>
            <w:r w:rsidRPr="00CD127A">
              <w:t xml:space="preserve">lient’s requirement for any worker to be present at the establishment and work in a particular role for a pre-determined period of time according to the established custom and practices of the </w:t>
            </w:r>
            <w:r w:rsidR="00E10604">
              <w:t>c</w:t>
            </w:r>
            <w:r w:rsidRPr="00CD127A">
              <w:t>lient;</w:t>
            </w:r>
          </w:p>
          <w:p w14:paraId="6E76EBB4" w14:textId="37CDE790" w:rsidR="00A524BF" w:rsidRPr="00CD127A" w:rsidRDefault="00A524BF" w:rsidP="00FE28C9">
            <w:pPr>
              <w:pStyle w:val="BodyText"/>
              <w:numPr>
                <w:ilvl w:val="0"/>
                <w:numId w:val="28"/>
              </w:numPr>
            </w:pPr>
            <w:r w:rsidRPr="00CD127A">
              <w:t xml:space="preserve">wholly due to a strike, lock-out or other industrial action at the </w:t>
            </w:r>
            <w:r w:rsidR="007F0049">
              <w:t>c</w:t>
            </w:r>
            <w:r w:rsidRPr="00CD127A">
              <w:t>lient’s establishment; or</w:t>
            </w:r>
          </w:p>
          <w:p w14:paraId="1C39A3D2" w14:textId="25B7C6A0" w:rsidR="006B619F" w:rsidRPr="00B04FF8" w:rsidRDefault="00A524BF" w:rsidP="00B04FF8">
            <w:pPr>
              <w:pStyle w:val="BodyText"/>
              <w:numPr>
                <w:ilvl w:val="0"/>
                <w:numId w:val="28"/>
              </w:numPr>
            </w:pPr>
            <w:r w:rsidRPr="00CD127A">
              <w:t>wholly due to more than one of the reasons listed in paragraphs (ii), (iii), (iv), (v), (vi) or (vii); and</w:t>
            </w:r>
          </w:p>
          <w:p w14:paraId="41FE423E" w14:textId="16746611" w:rsidR="00A524BF" w:rsidRPr="00CD127A" w:rsidRDefault="00A524BF" w:rsidP="00FE28C9">
            <w:pPr>
              <w:pStyle w:val="BodyText"/>
              <w:numPr>
                <w:ilvl w:val="0"/>
                <w:numId w:val="27"/>
              </w:numPr>
            </w:pPr>
            <w:r w:rsidRPr="00CD127A">
              <w:t xml:space="preserve">the </w:t>
            </w:r>
            <w:r w:rsidR="00304D2E">
              <w:t>Agency Worker</w:t>
            </w:r>
            <w:r w:rsidRPr="00CD127A">
              <w:t xml:space="preserve"> returns to work in the same role with the </w:t>
            </w:r>
            <w:r w:rsidR="007F0049">
              <w:t>c</w:t>
            </w:r>
            <w:r w:rsidRPr="00CD127A">
              <w:t>lient,</w:t>
            </w:r>
          </w:p>
          <w:p w14:paraId="05DCF8F6" w14:textId="3294368C" w:rsidR="00A524BF" w:rsidRPr="00C12072" w:rsidRDefault="00A524BF" w:rsidP="001C3C6E">
            <w:pPr>
              <w:pStyle w:val="BodyText"/>
            </w:pPr>
            <w:r w:rsidRPr="00CD127A">
              <w:t>any weeks during which the</w:t>
            </w:r>
            <w:r w:rsidR="00E10604">
              <w:t xml:space="preserve"> </w:t>
            </w:r>
            <w:r w:rsidR="00304D2E">
              <w:t>Agency Worker</w:t>
            </w:r>
            <w:r w:rsidRPr="00CD127A">
              <w:t xml:space="preserve"> worked for the </w:t>
            </w:r>
            <w:r w:rsidR="007F0049">
              <w:t>c</w:t>
            </w:r>
            <w:r w:rsidRPr="00CD127A">
              <w:t xml:space="preserve">lient before the break shall be carried forward and treated as counting towards the Qualifying Period with any weeks during which the </w:t>
            </w:r>
            <w:r w:rsidR="00304D2E">
              <w:t>Agency Worker</w:t>
            </w:r>
            <w:r w:rsidRPr="00CD127A">
              <w:t xml:space="preserve"> works for the </w:t>
            </w:r>
            <w:r w:rsidR="007F0049">
              <w:t>c</w:t>
            </w:r>
            <w:r w:rsidRPr="00CD127A">
              <w:t xml:space="preserve">lient after the break. In addition, when calculating the number of weeks during which the </w:t>
            </w:r>
            <w:r w:rsidR="00304D2E">
              <w:t>Agency Worker</w:t>
            </w:r>
            <w:r w:rsidRPr="00CD127A">
              <w:t xml:space="preserve"> has worked, where the </w:t>
            </w:r>
            <w:r w:rsidR="00304D2E">
              <w:t>Agency Worker</w:t>
            </w:r>
            <w:r w:rsidRPr="00CD127A">
              <w:t xml:space="preserve"> has started working in a role during an </w:t>
            </w:r>
            <w:r w:rsidR="00E10604">
              <w:t>a</w:t>
            </w:r>
            <w:r w:rsidRPr="00CD127A">
              <w:t>ssignment and is unable to continue working for a reason described in paragraph (b)(iii) or (b)(iv)</w:t>
            </w:r>
            <w:proofErr w:type="spellStart"/>
            <w:r w:rsidRPr="00CD127A">
              <w:t>i</w:t>
            </w:r>
            <w:proofErr w:type="spellEnd"/>
            <w:r w:rsidRPr="00CD127A">
              <w:t xml:space="preserve">., ii., or iii., for the period that is covered by one or more such reasons, the </w:t>
            </w:r>
            <w:r w:rsidR="00304D2E">
              <w:t>Agency Worker</w:t>
            </w:r>
            <w:r w:rsidRPr="00CD127A">
              <w:t xml:space="preserve"> shall be deemed to be working in that role with the </w:t>
            </w:r>
            <w:r w:rsidR="007F0049">
              <w:t>c</w:t>
            </w:r>
            <w:r w:rsidRPr="00CD127A">
              <w:t xml:space="preserve">lient for the original intended duration or likely duration of the relevant </w:t>
            </w:r>
            <w:r w:rsidR="00E10604">
              <w:t>a</w:t>
            </w:r>
            <w:r w:rsidRPr="00CD127A">
              <w:t xml:space="preserve">ssignment, whichever is the longer. For the avoidance of doubt, time spent by the </w:t>
            </w:r>
            <w:r w:rsidR="00304D2E">
              <w:t>Agency Worker</w:t>
            </w:r>
            <w:r w:rsidRPr="00CD127A">
              <w:t xml:space="preserve"> working during an assignment before 1 October 2011 in England, Scotland or Wales </w:t>
            </w:r>
            <w:r w:rsidRPr="00CD127A">
              <w:rPr>
                <w:bCs/>
              </w:rPr>
              <w:t xml:space="preserve">(or 5 December 2011 in Northern Ireland) </w:t>
            </w:r>
            <w:r w:rsidRPr="00CD127A">
              <w:t>does not count for the purposes of the definition of “Qualifying Period”.</w:t>
            </w:r>
          </w:p>
        </w:tc>
      </w:tr>
      <w:tr w:rsidR="00A524BF" w14:paraId="66E6E2D2" w14:textId="77777777" w:rsidTr="001C3C6E">
        <w:tc>
          <w:tcPr>
            <w:tcW w:w="1250" w:type="dxa"/>
          </w:tcPr>
          <w:p w14:paraId="4CF66945" w14:textId="77777777" w:rsidR="00A524BF" w:rsidRPr="00661B5F" w:rsidRDefault="00A524BF" w:rsidP="00FE28C9">
            <w:pPr>
              <w:pStyle w:val="BodyText"/>
              <w:numPr>
                <w:ilvl w:val="0"/>
                <w:numId w:val="22"/>
              </w:numPr>
            </w:pPr>
          </w:p>
        </w:tc>
        <w:tc>
          <w:tcPr>
            <w:tcW w:w="2588" w:type="dxa"/>
          </w:tcPr>
          <w:p w14:paraId="663FCCEC" w14:textId="77777777" w:rsidR="00A524BF" w:rsidRPr="00FE1620" w:rsidRDefault="00A524BF" w:rsidP="001C3C6E">
            <w:pPr>
              <w:pStyle w:val="BodyText"/>
            </w:pPr>
            <w:r w:rsidRPr="00FE1620">
              <w:t>1 (Definitions)</w:t>
            </w:r>
          </w:p>
          <w:p w14:paraId="24314D24" w14:textId="38A56003" w:rsidR="00A524BF" w:rsidRPr="00FE1620" w:rsidRDefault="00A524BF" w:rsidP="001C3C6E">
            <w:pPr>
              <w:pStyle w:val="BodyText"/>
            </w:pPr>
            <w:r w:rsidRPr="00FE1620">
              <w:t>“Relevant Period”</w:t>
            </w:r>
          </w:p>
        </w:tc>
        <w:tc>
          <w:tcPr>
            <w:tcW w:w="5178" w:type="dxa"/>
          </w:tcPr>
          <w:p w14:paraId="7DA1ABEA" w14:textId="35B588FB" w:rsidR="00620CDE" w:rsidRDefault="00620CDE" w:rsidP="001C3C6E">
            <w:pPr>
              <w:pStyle w:val="BodyText"/>
            </w:pPr>
            <w:r w:rsidRPr="00B96D36">
              <w:rPr>
                <w:b/>
                <w:bCs/>
              </w:rPr>
              <w:t>When the C</w:t>
            </w:r>
            <w:r>
              <w:rPr>
                <w:b/>
                <w:bCs/>
              </w:rPr>
              <w:t>o</w:t>
            </w:r>
            <w:r w:rsidRPr="00B96D36">
              <w:rPr>
                <w:b/>
                <w:bCs/>
              </w:rPr>
              <w:t>nduct Regulations apply:</w:t>
            </w:r>
            <w:r w:rsidR="009263EB">
              <w:t xml:space="preserve"> </w:t>
            </w:r>
          </w:p>
          <w:p w14:paraId="3261D7D0" w14:textId="77777777" w:rsidR="00620CDE" w:rsidRDefault="00620CDE" w:rsidP="001C3C6E">
            <w:pPr>
              <w:pStyle w:val="BodyText"/>
            </w:pPr>
          </w:p>
          <w:p w14:paraId="12692616" w14:textId="3E4D311C" w:rsidR="00A524BF" w:rsidRPr="00E947B1" w:rsidRDefault="00A524BF" w:rsidP="001C3C6E">
            <w:pPr>
              <w:pStyle w:val="BodyText"/>
              <w:rPr>
                <w:bCs/>
              </w:rPr>
            </w:pPr>
            <w:r w:rsidRPr="00CD127A">
              <w:lastRenderedPageBreak/>
              <w:t xml:space="preserve">The Relevant Period is set by Regulation 10 of the Conduct Regulations (and </w:t>
            </w:r>
            <w:r w:rsidR="00BA3648">
              <w:t>so</w:t>
            </w:r>
            <w:r w:rsidR="00BA3648" w:rsidRPr="00CD127A">
              <w:t xml:space="preserve"> </w:t>
            </w:r>
            <w:r w:rsidRPr="00CD127A">
              <w:t xml:space="preserve">cannot be changed even by agreement between the </w:t>
            </w:r>
            <w:r w:rsidR="007F0049">
              <w:t>e</w:t>
            </w:r>
            <w:r w:rsidRPr="00CD127A">
              <w:t xml:space="preserve">mployment </w:t>
            </w:r>
            <w:r w:rsidR="007F0049">
              <w:t>b</w:t>
            </w:r>
            <w:r w:rsidRPr="00CD127A">
              <w:t xml:space="preserve">usiness and the </w:t>
            </w:r>
            <w:r w:rsidR="007F0049">
              <w:t>c</w:t>
            </w:r>
            <w:r w:rsidRPr="00CD127A">
              <w:t xml:space="preserve">lient). </w:t>
            </w:r>
            <w:r w:rsidR="007F0049">
              <w:t xml:space="preserve">You can find more </w:t>
            </w:r>
            <w:r w:rsidRPr="00CD127A">
              <w:rPr>
                <w:bCs/>
              </w:rPr>
              <w:t xml:space="preserve">information </w:t>
            </w:r>
            <w:r w:rsidR="007F0049">
              <w:rPr>
                <w:bCs/>
              </w:rPr>
              <w:t xml:space="preserve">in the </w:t>
            </w:r>
            <w:hyperlink r:id="rId32" w:history="1">
              <w:r w:rsidR="007F0049" w:rsidRPr="001C35DF">
                <w:rPr>
                  <w:rStyle w:val="Hyperlink"/>
                  <w:bCs/>
                  <w:color w:val="36BEAE" w:themeColor="text2"/>
                  <w:sz w:val="22"/>
                </w:rPr>
                <w:t>Conduct Regulations</w:t>
              </w:r>
            </w:hyperlink>
            <w:r w:rsidR="007F0049" w:rsidRPr="001C35DF">
              <w:rPr>
                <w:bCs/>
                <w:color w:val="36BEAE" w:themeColor="text2"/>
              </w:rPr>
              <w:t xml:space="preserve"> </w:t>
            </w:r>
            <w:r w:rsidR="007F0049">
              <w:rPr>
                <w:bCs/>
              </w:rPr>
              <w:t xml:space="preserve">section of </w:t>
            </w:r>
            <w:r w:rsidRPr="00CD127A">
              <w:rPr>
                <w:bCs/>
              </w:rPr>
              <w:t xml:space="preserve">the </w:t>
            </w:r>
            <w:proofErr w:type="spellStart"/>
            <w:r w:rsidRPr="00CD127A">
              <w:rPr>
                <w:bCs/>
              </w:rPr>
              <w:t>REC’s</w:t>
            </w:r>
            <w:proofErr w:type="spellEnd"/>
            <w:r w:rsidRPr="00CD127A">
              <w:rPr>
                <w:bCs/>
              </w:rPr>
              <w:t xml:space="preserve"> Legal Guide.</w:t>
            </w:r>
          </w:p>
        </w:tc>
      </w:tr>
      <w:tr w:rsidR="00A524BF" w14:paraId="0C06E38A" w14:textId="77777777" w:rsidTr="001C3C6E">
        <w:tc>
          <w:tcPr>
            <w:tcW w:w="1250" w:type="dxa"/>
          </w:tcPr>
          <w:p w14:paraId="0B7D19E9" w14:textId="77777777" w:rsidR="00A524BF" w:rsidRPr="00661B5F" w:rsidRDefault="00A524BF" w:rsidP="00FE28C9">
            <w:pPr>
              <w:pStyle w:val="BodyText"/>
              <w:numPr>
                <w:ilvl w:val="0"/>
                <w:numId w:val="22"/>
              </w:numPr>
            </w:pPr>
          </w:p>
        </w:tc>
        <w:tc>
          <w:tcPr>
            <w:tcW w:w="2588" w:type="dxa"/>
          </w:tcPr>
          <w:p w14:paraId="5957A94E" w14:textId="0457B722" w:rsidR="00A524BF" w:rsidRPr="00FE1620" w:rsidRDefault="00A524BF" w:rsidP="001C3C6E">
            <w:pPr>
              <w:pStyle w:val="BodyText"/>
            </w:pPr>
            <w:r w:rsidRPr="00FE1620">
              <w:rPr>
                <w:bCs/>
              </w:rPr>
              <w:t>1 (Definitions) “Remuneration”</w:t>
            </w:r>
          </w:p>
        </w:tc>
        <w:tc>
          <w:tcPr>
            <w:tcW w:w="5178" w:type="dxa"/>
          </w:tcPr>
          <w:p w14:paraId="1306EEE1" w14:textId="2A2BCC07" w:rsidR="00A524BF" w:rsidRPr="00E947B1" w:rsidRDefault="00A524BF" w:rsidP="001C3C6E">
            <w:pPr>
              <w:pStyle w:val="BodyText"/>
              <w:rPr>
                <w:bCs/>
              </w:rPr>
            </w:pPr>
            <w:r>
              <w:rPr>
                <w:bCs/>
              </w:rPr>
              <w:t xml:space="preserve">You will need </w:t>
            </w:r>
            <w:r w:rsidRPr="00CD127A">
              <w:rPr>
                <w:bCs/>
              </w:rPr>
              <w:t>a notional amount where a company car is part of the remuneration package to represent the value of the benefit.</w:t>
            </w:r>
            <w:r>
              <w:rPr>
                <w:bCs/>
              </w:rPr>
              <w:t xml:space="preserve">  You could add this to the charges schedule. </w:t>
            </w:r>
          </w:p>
        </w:tc>
      </w:tr>
      <w:tr w:rsidR="00A524BF" w14:paraId="77697067" w14:textId="77777777" w:rsidTr="001C3C6E">
        <w:tc>
          <w:tcPr>
            <w:tcW w:w="1250" w:type="dxa"/>
          </w:tcPr>
          <w:p w14:paraId="6E696209" w14:textId="77777777" w:rsidR="00A524BF" w:rsidRPr="00661B5F" w:rsidRDefault="00A524BF" w:rsidP="00FE28C9">
            <w:pPr>
              <w:pStyle w:val="BodyText"/>
              <w:numPr>
                <w:ilvl w:val="0"/>
                <w:numId w:val="22"/>
              </w:numPr>
            </w:pPr>
          </w:p>
        </w:tc>
        <w:tc>
          <w:tcPr>
            <w:tcW w:w="2588" w:type="dxa"/>
          </w:tcPr>
          <w:p w14:paraId="4B03AA90" w14:textId="77777777" w:rsidR="00A524BF" w:rsidRPr="00FE1620" w:rsidRDefault="00A524BF" w:rsidP="001C3C6E">
            <w:pPr>
              <w:pStyle w:val="BodyText"/>
            </w:pPr>
            <w:r w:rsidRPr="00FE1620">
              <w:t>1 (Definitions)</w:t>
            </w:r>
          </w:p>
          <w:p w14:paraId="66B33B3D" w14:textId="77777777" w:rsidR="00A524BF" w:rsidRPr="00FE1620" w:rsidRDefault="00A524BF" w:rsidP="001C3C6E">
            <w:pPr>
              <w:pStyle w:val="BodyText"/>
            </w:pPr>
            <w:r w:rsidRPr="00FE1620">
              <w:t>“Safeguarding Legislation”</w:t>
            </w:r>
          </w:p>
          <w:p w14:paraId="5BE2F305" w14:textId="77777777" w:rsidR="00A524BF" w:rsidRPr="00FE1620" w:rsidRDefault="00A524BF" w:rsidP="001C3C6E">
            <w:pPr>
              <w:pStyle w:val="BodyText"/>
            </w:pPr>
          </w:p>
        </w:tc>
        <w:tc>
          <w:tcPr>
            <w:tcW w:w="5178" w:type="dxa"/>
          </w:tcPr>
          <w:p w14:paraId="2F811345" w14:textId="05A11855" w:rsidR="00620CDE" w:rsidRDefault="00620CDE" w:rsidP="001C3C6E">
            <w:pPr>
              <w:pStyle w:val="BodyText"/>
              <w:rPr>
                <w:b/>
              </w:rPr>
            </w:pPr>
            <w:r w:rsidRPr="00B96D36">
              <w:rPr>
                <w:b/>
                <w:bCs/>
              </w:rPr>
              <w:t>When the C</w:t>
            </w:r>
            <w:r>
              <w:rPr>
                <w:b/>
                <w:bCs/>
              </w:rPr>
              <w:t>o</w:t>
            </w:r>
            <w:r w:rsidRPr="00B96D36">
              <w:rPr>
                <w:b/>
                <w:bCs/>
              </w:rPr>
              <w:t>nduct Regulations apply:</w:t>
            </w:r>
            <w:r w:rsidR="00A524BF" w:rsidRPr="00B96D36">
              <w:rPr>
                <w:b/>
              </w:rPr>
              <w:t xml:space="preserve"> </w:t>
            </w:r>
          </w:p>
          <w:p w14:paraId="24D95676" w14:textId="77777777" w:rsidR="00620CDE" w:rsidRDefault="00620CDE" w:rsidP="001C3C6E">
            <w:pPr>
              <w:pStyle w:val="BodyText"/>
              <w:rPr>
                <w:b/>
              </w:rPr>
            </w:pPr>
          </w:p>
          <w:p w14:paraId="2C91FB7B" w14:textId="05CD022E" w:rsidR="00A524BF" w:rsidRPr="00C12072" w:rsidRDefault="00A524BF" w:rsidP="001C3C6E">
            <w:pPr>
              <w:pStyle w:val="BodyText"/>
            </w:pPr>
            <w:r w:rsidRPr="00CD127A">
              <w:t xml:space="preserve">Choose the legislation relevant to the jurisdiction(s) you operate in and delete those not used. </w:t>
            </w:r>
          </w:p>
        </w:tc>
      </w:tr>
      <w:tr w:rsidR="00A524BF" w14:paraId="113A904B" w14:textId="77777777" w:rsidTr="001C3C6E">
        <w:tc>
          <w:tcPr>
            <w:tcW w:w="1250" w:type="dxa"/>
          </w:tcPr>
          <w:p w14:paraId="2AEE8B0E" w14:textId="77777777" w:rsidR="00A524BF" w:rsidRPr="00661B5F" w:rsidRDefault="00A524BF" w:rsidP="00FE28C9">
            <w:pPr>
              <w:pStyle w:val="BodyText"/>
              <w:numPr>
                <w:ilvl w:val="0"/>
                <w:numId w:val="22"/>
              </w:numPr>
            </w:pPr>
          </w:p>
        </w:tc>
        <w:tc>
          <w:tcPr>
            <w:tcW w:w="2588" w:type="dxa"/>
          </w:tcPr>
          <w:p w14:paraId="51333614" w14:textId="77777777" w:rsidR="00A524BF" w:rsidRPr="00E947B1" w:rsidRDefault="00A524BF" w:rsidP="001C3C6E">
            <w:pPr>
              <w:pStyle w:val="BodyText"/>
              <w:rPr>
                <w:iCs/>
              </w:rPr>
            </w:pPr>
            <w:r w:rsidRPr="00E947B1">
              <w:rPr>
                <w:iCs/>
              </w:rPr>
              <w:t>1 (Definitions)</w:t>
            </w:r>
          </w:p>
          <w:p w14:paraId="34AE84BE" w14:textId="77777777" w:rsidR="00A524BF" w:rsidRPr="00E947B1" w:rsidRDefault="00A524BF" w:rsidP="001C3C6E">
            <w:pPr>
              <w:pStyle w:val="BodyText"/>
              <w:rPr>
                <w:iCs/>
              </w:rPr>
            </w:pPr>
            <w:r w:rsidRPr="00E947B1">
              <w:rPr>
                <w:iCs/>
              </w:rPr>
              <w:t>“Temporary Work Agency”</w:t>
            </w:r>
          </w:p>
          <w:p w14:paraId="1C595F32" w14:textId="77777777" w:rsidR="00A524BF" w:rsidRPr="00FE1620" w:rsidRDefault="00A524BF" w:rsidP="001C3C6E">
            <w:pPr>
              <w:pStyle w:val="BodyText"/>
            </w:pPr>
          </w:p>
        </w:tc>
        <w:tc>
          <w:tcPr>
            <w:tcW w:w="5178" w:type="dxa"/>
          </w:tcPr>
          <w:p w14:paraId="262740F2" w14:textId="77777777" w:rsidR="00A524BF" w:rsidRPr="00620CDE" w:rsidRDefault="00A524BF" w:rsidP="001C3C6E">
            <w:pPr>
              <w:pStyle w:val="BodyText"/>
              <w:rPr>
                <w:b/>
                <w:bCs/>
                <w:color w:val="002060"/>
              </w:rPr>
            </w:pPr>
            <w:r w:rsidRPr="00620CDE">
              <w:rPr>
                <w:b/>
                <w:bCs/>
                <w:color w:val="002060"/>
              </w:rPr>
              <w:t xml:space="preserve">Where the </w:t>
            </w:r>
            <w:proofErr w:type="spellStart"/>
            <w:r w:rsidRPr="00620CDE">
              <w:rPr>
                <w:b/>
                <w:bCs/>
                <w:color w:val="002060"/>
              </w:rPr>
              <w:t>AWR</w:t>
            </w:r>
            <w:proofErr w:type="spellEnd"/>
            <w:r w:rsidRPr="00620CDE">
              <w:rPr>
                <w:b/>
                <w:bCs/>
                <w:color w:val="002060"/>
              </w:rPr>
              <w:t xml:space="preserve"> apply:</w:t>
            </w:r>
          </w:p>
          <w:p w14:paraId="4AF3482C" w14:textId="401F93ED" w:rsidR="00A524BF" w:rsidRPr="00620CDE" w:rsidRDefault="00A524BF" w:rsidP="001C3C6E">
            <w:pPr>
              <w:pStyle w:val="BodyText"/>
              <w:rPr>
                <w:color w:val="002060"/>
                <w:lang w:val="en"/>
              </w:rPr>
            </w:pPr>
            <w:r w:rsidRPr="00620CDE">
              <w:rPr>
                <w:color w:val="002060"/>
              </w:rPr>
              <w:t xml:space="preserve">A </w:t>
            </w:r>
            <w:r w:rsidR="009263EB" w:rsidRPr="00620CDE">
              <w:rPr>
                <w:color w:val="002060"/>
              </w:rPr>
              <w:t>Temporary Work Agency (</w:t>
            </w:r>
            <w:r w:rsidRPr="00620CDE">
              <w:rPr>
                <w:color w:val="002060"/>
              </w:rPr>
              <w:t>TWA</w:t>
            </w:r>
            <w:r w:rsidR="009263EB" w:rsidRPr="00620CDE">
              <w:rPr>
                <w:color w:val="002060"/>
              </w:rPr>
              <w:t>)</w:t>
            </w:r>
            <w:r w:rsidRPr="00620CDE">
              <w:rPr>
                <w:color w:val="002060"/>
              </w:rPr>
              <w:t xml:space="preserve"> is defined in Regulation 4 of the </w:t>
            </w:r>
            <w:proofErr w:type="spellStart"/>
            <w:r w:rsidRPr="00620CDE">
              <w:rPr>
                <w:color w:val="002060"/>
              </w:rPr>
              <w:t>AWR</w:t>
            </w:r>
            <w:proofErr w:type="spellEnd"/>
            <w:r w:rsidRPr="00620CDE">
              <w:rPr>
                <w:color w:val="002060"/>
              </w:rPr>
              <w:t xml:space="preserve"> as </w:t>
            </w:r>
            <w:r w:rsidRPr="00620CDE">
              <w:rPr>
                <w:color w:val="002060"/>
                <w:lang w:val="en"/>
              </w:rPr>
              <w:t>a person engaged in the economic activity, public or private, whether or not operating for profit, and whether or not carrying on such activity in conjunction with others, of:</w:t>
            </w:r>
          </w:p>
          <w:p w14:paraId="7224AC07" w14:textId="77F94217" w:rsidR="00A524BF" w:rsidRPr="00620CDE" w:rsidRDefault="00A524BF" w:rsidP="00FE28C9">
            <w:pPr>
              <w:pStyle w:val="BodyText"/>
              <w:numPr>
                <w:ilvl w:val="0"/>
                <w:numId w:val="29"/>
              </w:numPr>
              <w:rPr>
                <w:color w:val="002060"/>
                <w:lang w:val="en"/>
              </w:rPr>
            </w:pPr>
            <w:r w:rsidRPr="00620CDE">
              <w:rPr>
                <w:rStyle w:val="legdslegrhslegp3text"/>
                <w:color w:val="002060"/>
                <w:lang w:val="en"/>
              </w:rPr>
              <w:t>supplying individuals to work temporarily for and under the supervision and direction of hirers</w:t>
            </w:r>
            <w:r w:rsidR="00986248">
              <w:rPr>
                <w:rStyle w:val="legdslegrhslegp3text"/>
                <w:color w:val="002060"/>
                <w:lang w:val="en"/>
              </w:rPr>
              <w:t xml:space="preserve"> (i.e. clients)</w:t>
            </w:r>
            <w:r w:rsidRPr="00620CDE">
              <w:rPr>
                <w:rStyle w:val="legdslegrhslegp3text"/>
                <w:color w:val="002060"/>
                <w:lang w:val="en"/>
              </w:rPr>
              <w:t>; or</w:t>
            </w:r>
          </w:p>
          <w:p w14:paraId="03E885E7" w14:textId="6E23BBB2" w:rsidR="00A524BF" w:rsidRPr="00620CDE" w:rsidRDefault="00A524BF" w:rsidP="00FE28C9">
            <w:pPr>
              <w:pStyle w:val="BodyText"/>
              <w:numPr>
                <w:ilvl w:val="0"/>
                <w:numId w:val="29"/>
              </w:numPr>
              <w:rPr>
                <w:color w:val="002060"/>
                <w:lang w:val="en"/>
              </w:rPr>
            </w:pPr>
            <w:r w:rsidRPr="00620CDE">
              <w:rPr>
                <w:rStyle w:val="legdslegrhslegp3text"/>
                <w:color w:val="002060"/>
                <w:lang w:val="en"/>
              </w:rPr>
              <w:t>paying for, or receiving or forwarding payment for, the services of individuals who are supplied to work temporarily for and under the supervision and direction of hirers.</w:t>
            </w:r>
          </w:p>
          <w:p w14:paraId="0A659E0D" w14:textId="77777777" w:rsidR="00A524BF" w:rsidRPr="00620CDE" w:rsidRDefault="00A524BF" w:rsidP="001C3C6E">
            <w:pPr>
              <w:pStyle w:val="BodyText"/>
              <w:rPr>
                <w:color w:val="002060"/>
                <w:lang w:val="en"/>
              </w:rPr>
            </w:pPr>
          </w:p>
          <w:p w14:paraId="776D15DC" w14:textId="7BA3076A" w:rsidR="00A524BF" w:rsidRPr="00620CDE" w:rsidRDefault="00A524BF" w:rsidP="001C3C6E">
            <w:pPr>
              <w:pStyle w:val="BodyText"/>
              <w:rPr>
                <w:color w:val="002060"/>
                <w:lang w:val="en"/>
              </w:rPr>
            </w:pPr>
            <w:r w:rsidRPr="00620CDE">
              <w:rPr>
                <w:color w:val="002060"/>
                <w:lang w:val="en"/>
              </w:rPr>
              <w:t>Notwithstanding paragraph (b) of this definition</w:t>
            </w:r>
            <w:r w:rsidR="00226B21" w:rsidRPr="00620CDE">
              <w:rPr>
                <w:color w:val="002060"/>
                <w:lang w:val="en"/>
              </w:rPr>
              <w:t>,</w:t>
            </w:r>
            <w:r w:rsidRPr="00620CDE">
              <w:rPr>
                <w:color w:val="002060"/>
                <w:lang w:val="en"/>
              </w:rPr>
              <w:t xml:space="preserve">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individuals are supplied, to work temporarily for and under the supervision and direction of that person.</w:t>
            </w:r>
          </w:p>
          <w:p w14:paraId="7D9782BB" w14:textId="387F442F" w:rsidR="009263EB" w:rsidRPr="00620CDE" w:rsidRDefault="009263EB" w:rsidP="001C3C6E">
            <w:pPr>
              <w:pStyle w:val="BodyText"/>
              <w:rPr>
                <w:color w:val="002060"/>
              </w:rPr>
            </w:pPr>
          </w:p>
          <w:p w14:paraId="0567897B" w14:textId="1347779D" w:rsidR="009263EB" w:rsidRPr="00620CDE" w:rsidRDefault="009263EB" w:rsidP="001C3C6E">
            <w:pPr>
              <w:pStyle w:val="BodyText"/>
              <w:rPr>
                <w:color w:val="002060"/>
              </w:rPr>
            </w:pPr>
            <w:r w:rsidRPr="00620CDE">
              <w:rPr>
                <w:color w:val="002060"/>
              </w:rPr>
              <w:t xml:space="preserve">So, the employment business </w:t>
            </w:r>
            <w:r w:rsidR="00D70003">
              <w:rPr>
                <w:color w:val="002060"/>
              </w:rPr>
              <w:t>i</w:t>
            </w:r>
            <w:r w:rsidRPr="00620CDE">
              <w:rPr>
                <w:color w:val="002060"/>
              </w:rPr>
              <w:t xml:space="preserve">s a TWA, as will any umbrella company, PSC, other Intermediary or </w:t>
            </w:r>
            <w:r w:rsidR="00D70003">
              <w:rPr>
                <w:color w:val="002060"/>
              </w:rPr>
              <w:t>i</w:t>
            </w:r>
            <w:r w:rsidRPr="00620CDE">
              <w:rPr>
                <w:color w:val="002060"/>
              </w:rPr>
              <w:t>ndeed a master/neut</w:t>
            </w:r>
            <w:r w:rsidR="00E10604" w:rsidRPr="00620CDE">
              <w:rPr>
                <w:color w:val="002060"/>
              </w:rPr>
              <w:t>r</w:t>
            </w:r>
            <w:r w:rsidRPr="00620CDE">
              <w:rPr>
                <w:color w:val="002060"/>
              </w:rPr>
              <w:t>al vendor sitting between the client and the employment business.</w:t>
            </w:r>
          </w:p>
          <w:p w14:paraId="69AE3C49" w14:textId="5C4BABB6" w:rsidR="009263EB" w:rsidRPr="00620CDE" w:rsidRDefault="009263EB" w:rsidP="001C3C6E">
            <w:pPr>
              <w:pStyle w:val="BodyText"/>
              <w:rPr>
                <w:color w:val="002060"/>
              </w:rPr>
            </w:pPr>
          </w:p>
          <w:p w14:paraId="2BA5C31A" w14:textId="64686F4D" w:rsidR="00A524BF" w:rsidRPr="00620CDE" w:rsidRDefault="009263EB" w:rsidP="001C3C6E">
            <w:pPr>
              <w:pStyle w:val="BodyText"/>
              <w:rPr>
                <w:color w:val="002060"/>
              </w:rPr>
            </w:pPr>
            <w:r w:rsidRPr="00620CDE">
              <w:rPr>
                <w:color w:val="002060"/>
              </w:rPr>
              <w:t xml:space="preserve">All TWAs will be responsible for ensuring an </w:t>
            </w:r>
            <w:r w:rsidR="00304D2E" w:rsidRPr="00620CDE">
              <w:rPr>
                <w:color w:val="002060"/>
              </w:rPr>
              <w:t>Agency Worker</w:t>
            </w:r>
            <w:r w:rsidRPr="00620CDE">
              <w:rPr>
                <w:color w:val="002060"/>
              </w:rPr>
              <w:t xml:space="preserve"> receives </w:t>
            </w:r>
            <w:r w:rsidR="00476DAA" w:rsidRPr="00620CDE">
              <w:rPr>
                <w:color w:val="002060"/>
              </w:rPr>
              <w:t>their</w:t>
            </w:r>
            <w:r w:rsidRPr="00620CDE">
              <w:rPr>
                <w:color w:val="002060"/>
              </w:rPr>
              <w:t xml:space="preserve"> </w:t>
            </w:r>
            <w:proofErr w:type="spellStart"/>
            <w:r w:rsidRPr="00620CDE">
              <w:rPr>
                <w:color w:val="002060"/>
              </w:rPr>
              <w:t>AWR</w:t>
            </w:r>
            <w:proofErr w:type="spellEnd"/>
            <w:r w:rsidRPr="00620CDE">
              <w:rPr>
                <w:color w:val="002060"/>
              </w:rPr>
              <w:t xml:space="preserve"> rights. </w:t>
            </w:r>
          </w:p>
        </w:tc>
      </w:tr>
      <w:tr w:rsidR="00A524BF" w14:paraId="38BEBE4A" w14:textId="77777777" w:rsidTr="001C3C6E">
        <w:tc>
          <w:tcPr>
            <w:tcW w:w="1250" w:type="dxa"/>
          </w:tcPr>
          <w:p w14:paraId="76FD11C6" w14:textId="77777777" w:rsidR="00A524BF" w:rsidRPr="00661B5F" w:rsidRDefault="00A524BF" w:rsidP="00FE28C9">
            <w:pPr>
              <w:pStyle w:val="BodyText"/>
              <w:numPr>
                <w:ilvl w:val="0"/>
                <w:numId w:val="22"/>
              </w:numPr>
            </w:pPr>
          </w:p>
        </w:tc>
        <w:tc>
          <w:tcPr>
            <w:tcW w:w="2588" w:type="dxa"/>
          </w:tcPr>
          <w:p w14:paraId="659FCA12" w14:textId="0C5A4978" w:rsidR="00A524BF" w:rsidRPr="00FE1620" w:rsidRDefault="00A524BF" w:rsidP="001C3C6E">
            <w:pPr>
              <w:pStyle w:val="BodyText"/>
            </w:pPr>
            <w:r w:rsidRPr="00FE1620">
              <w:t xml:space="preserve">1 (Definitions) </w:t>
            </w:r>
            <w:r w:rsidR="00A82ED3" w:rsidRPr="00FE1620">
              <w:br/>
            </w:r>
            <w:r w:rsidRPr="00FE1620">
              <w:t>“</w:t>
            </w:r>
            <w:proofErr w:type="spellStart"/>
            <w:r w:rsidRPr="00FE1620">
              <w:t>WTR</w:t>
            </w:r>
            <w:proofErr w:type="spellEnd"/>
            <w:r w:rsidRPr="00FE1620">
              <w:t>”</w:t>
            </w:r>
          </w:p>
        </w:tc>
        <w:tc>
          <w:tcPr>
            <w:tcW w:w="5178" w:type="dxa"/>
          </w:tcPr>
          <w:p w14:paraId="46FD23E3" w14:textId="77777777" w:rsidR="00A524BF" w:rsidRPr="00FE1620" w:rsidRDefault="00A524BF" w:rsidP="001C3C6E">
            <w:pPr>
              <w:pStyle w:val="BodyText"/>
              <w:rPr>
                <w:color w:val="002060"/>
              </w:rPr>
            </w:pPr>
            <w:r w:rsidRPr="00FE1620">
              <w:rPr>
                <w:color w:val="002060"/>
              </w:rPr>
              <w:t xml:space="preserve">The Working Time Regulations 1998 apply in England, Scotland and Wales. If supplying in England, Scotland and Wales only delete the text in square brackets. </w:t>
            </w:r>
          </w:p>
          <w:p w14:paraId="78569A9F" w14:textId="77777777" w:rsidR="00A524BF" w:rsidRPr="00FE1620" w:rsidRDefault="00A524BF" w:rsidP="001C3C6E">
            <w:pPr>
              <w:pStyle w:val="BodyText"/>
              <w:rPr>
                <w:color w:val="002060"/>
              </w:rPr>
            </w:pPr>
          </w:p>
          <w:p w14:paraId="2D76B9D4" w14:textId="77777777" w:rsidR="00A524BF" w:rsidRPr="00FE1620" w:rsidRDefault="00A524BF" w:rsidP="001C3C6E">
            <w:pPr>
              <w:pStyle w:val="BodyText"/>
              <w:rPr>
                <w:color w:val="002060"/>
              </w:rPr>
            </w:pPr>
            <w:r w:rsidRPr="00FE1620">
              <w:rPr>
                <w:color w:val="002060"/>
              </w:rPr>
              <w:t xml:space="preserve">The Working Time (Northern Ireland) Regulations 1998 apply in Northern Ireland. If supplying in Northern Ireland only delete the reference to the Working Time Regulations 1998. </w:t>
            </w:r>
          </w:p>
          <w:p w14:paraId="3EC3BB6E" w14:textId="77777777" w:rsidR="00A524BF" w:rsidRPr="00FE1620" w:rsidRDefault="00A524BF" w:rsidP="001C3C6E">
            <w:pPr>
              <w:pStyle w:val="BodyText"/>
              <w:rPr>
                <w:color w:val="002060"/>
              </w:rPr>
            </w:pPr>
          </w:p>
          <w:p w14:paraId="3E17F92B" w14:textId="4915F6BF" w:rsidR="00A524BF" w:rsidRPr="00FE1620" w:rsidRDefault="00A524BF" w:rsidP="001C3C6E">
            <w:pPr>
              <w:pStyle w:val="BodyText"/>
              <w:rPr>
                <w:color w:val="002060"/>
              </w:rPr>
            </w:pPr>
            <w:r w:rsidRPr="00FE1620">
              <w:rPr>
                <w:color w:val="002060"/>
              </w:rPr>
              <w:t>If supplying in all of England, Scotland, Wales and Northern Ireland keep references to both sets of regulations and delete the square brackets only.</w:t>
            </w:r>
          </w:p>
        </w:tc>
      </w:tr>
      <w:tr w:rsidR="00A524BF" w14:paraId="7F33CA50" w14:textId="77777777" w:rsidTr="001C3C6E">
        <w:tc>
          <w:tcPr>
            <w:tcW w:w="1250" w:type="dxa"/>
          </w:tcPr>
          <w:p w14:paraId="4D068355" w14:textId="77777777" w:rsidR="00A524BF" w:rsidRPr="00661B5F" w:rsidRDefault="00A524BF" w:rsidP="00FE28C9">
            <w:pPr>
              <w:pStyle w:val="BodyText"/>
              <w:numPr>
                <w:ilvl w:val="0"/>
                <w:numId w:val="22"/>
              </w:numPr>
            </w:pPr>
          </w:p>
        </w:tc>
        <w:tc>
          <w:tcPr>
            <w:tcW w:w="2588" w:type="dxa"/>
          </w:tcPr>
          <w:p w14:paraId="0DE935F7" w14:textId="2A181091" w:rsidR="00A524BF" w:rsidRPr="00FE1620" w:rsidRDefault="00A524BF" w:rsidP="00E947B1">
            <w:pPr>
              <w:pStyle w:val="BodyText"/>
            </w:pPr>
            <w:r w:rsidRPr="00FE1620">
              <w:rPr>
                <w:bCs/>
              </w:rPr>
              <w:t>2.1</w:t>
            </w:r>
            <w:r w:rsidR="00E947B1">
              <w:rPr>
                <w:bCs/>
              </w:rPr>
              <w:t xml:space="preserve"> </w:t>
            </w:r>
            <w:r w:rsidRPr="00FE1620">
              <w:rPr>
                <w:bCs/>
              </w:rPr>
              <w:t>(The Agreement)</w:t>
            </w:r>
          </w:p>
        </w:tc>
        <w:tc>
          <w:tcPr>
            <w:tcW w:w="5178" w:type="dxa"/>
          </w:tcPr>
          <w:p w14:paraId="2881FF12" w14:textId="0A63FFA8" w:rsidR="00A524BF" w:rsidRPr="00FE1620" w:rsidRDefault="00A524BF" w:rsidP="001C3C6E">
            <w:pPr>
              <w:pStyle w:val="BodyText"/>
              <w:rPr>
                <w:color w:val="002060"/>
              </w:rPr>
            </w:pPr>
            <w:r w:rsidRPr="00FE1620">
              <w:rPr>
                <w:color w:val="002060"/>
              </w:rPr>
              <w:t xml:space="preserve">The </w:t>
            </w:r>
            <w:r w:rsidRPr="00FE1620">
              <w:rPr>
                <w:rFonts w:cs="Times-Roman"/>
                <w:bCs/>
                <w:color w:val="002060"/>
                <w:lang w:eastAsia="en-GB"/>
              </w:rPr>
              <w:t>Conduct Regulations</w:t>
            </w:r>
            <w:r w:rsidR="009263EB" w:rsidRPr="00FE1620">
              <w:rPr>
                <w:rFonts w:cs="Times-Roman"/>
                <w:bCs/>
                <w:color w:val="002060"/>
                <w:lang w:eastAsia="en-GB"/>
              </w:rPr>
              <w:t xml:space="preserve"> have been</w:t>
            </w:r>
            <w:r w:rsidRPr="00FE1620">
              <w:rPr>
                <w:rFonts w:cs="Times-Roman"/>
                <w:bCs/>
                <w:color w:val="002060"/>
                <w:lang w:eastAsia="en-GB"/>
              </w:rPr>
              <w:t xml:space="preserve"> amended </w:t>
            </w:r>
            <w:r w:rsidR="00B16A2C" w:rsidRPr="00FE1620">
              <w:rPr>
                <w:rFonts w:cs="Times-Roman"/>
                <w:bCs/>
                <w:color w:val="002060"/>
                <w:lang w:eastAsia="en-GB"/>
              </w:rPr>
              <w:t>several</w:t>
            </w:r>
            <w:r w:rsidR="009263EB" w:rsidRPr="00FE1620">
              <w:rPr>
                <w:rFonts w:cs="Times-Roman"/>
                <w:bCs/>
                <w:color w:val="002060"/>
                <w:lang w:eastAsia="en-GB"/>
              </w:rPr>
              <w:t xml:space="preserve"> times.  This includes </w:t>
            </w:r>
            <w:r w:rsidRPr="00FE1620">
              <w:rPr>
                <w:rFonts w:cs="Times-Roman"/>
                <w:bCs/>
                <w:color w:val="002060"/>
                <w:lang w:eastAsia="en-GB"/>
              </w:rPr>
              <w:t xml:space="preserve">the </w:t>
            </w:r>
            <w:r w:rsidRPr="00FE1620">
              <w:rPr>
                <w:color w:val="002060"/>
              </w:rPr>
              <w:t xml:space="preserve">removal of Regulation 17 (Agreeing Terms with Clients).  However, the REC decided to keep the requirements of Regulation 17 </w:t>
            </w:r>
            <w:r w:rsidR="004B4F78" w:rsidRPr="00FE1620">
              <w:rPr>
                <w:color w:val="002060"/>
              </w:rPr>
              <w:t xml:space="preserve">as a requirement of </w:t>
            </w:r>
            <w:r w:rsidR="00F73649">
              <w:rPr>
                <w:color w:val="002060"/>
              </w:rPr>
              <w:t>its</w:t>
            </w:r>
            <w:r w:rsidR="00F73649" w:rsidRPr="00FE1620">
              <w:rPr>
                <w:color w:val="002060"/>
              </w:rPr>
              <w:t xml:space="preserve"> </w:t>
            </w:r>
            <w:hyperlink r:id="rId33" w:history="1">
              <w:r w:rsidR="00F73649" w:rsidRPr="00C3668F">
                <w:rPr>
                  <w:rStyle w:val="Hyperlink"/>
                  <w:color w:val="36BEAE" w:themeColor="text2"/>
                </w:rPr>
                <w:t>Code of Professional Practice</w:t>
              </w:r>
            </w:hyperlink>
            <w:r w:rsidR="00F73649">
              <w:rPr>
                <w:color w:val="002060"/>
              </w:rPr>
              <w:t xml:space="preserve"> </w:t>
            </w:r>
            <w:r w:rsidRPr="00FE1620">
              <w:rPr>
                <w:color w:val="002060"/>
              </w:rPr>
              <w:t xml:space="preserve">which requires employment businesses to agree terms with </w:t>
            </w:r>
            <w:r w:rsidR="009263EB" w:rsidRPr="00FE1620">
              <w:rPr>
                <w:color w:val="002060"/>
              </w:rPr>
              <w:t>c</w:t>
            </w:r>
            <w:r w:rsidRPr="00FE1620">
              <w:rPr>
                <w:color w:val="002060"/>
              </w:rPr>
              <w:t xml:space="preserve">lients before providing work-finding services.  </w:t>
            </w:r>
          </w:p>
          <w:p w14:paraId="1E232125" w14:textId="77777777" w:rsidR="00A524BF" w:rsidRPr="00FE1620" w:rsidRDefault="00A524BF" w:rsidP="001C3C6E">
            <w:pPr>
              <w:pStyle w:val="BodyText"/>
              <w:rPr>
                <w:color w:val="002060"/>
              </w:rPr>
            </w:pPr>
          </w:p>
          <w:p w14:paraId="44BB467B" w14:textId="77777777" w:rsidR="00A524BF" w:rsidRPr="00FE1620" w:rsidRDefault="00A524BF" w:rsidP="001C3C6E">
            <w:pPr>
              <w:pStyle w:val="BodyText"/>
              <w:rPr>
                <w:color w:val="002060"/>
              </w:rPr>
            </w:pPr>
            <w:r w:rsidRPr="00FE1620">
              <w:rPr>
                <w:color w:val="002060"/>
              </w:rPr>
              <w:t>REC has retained this requirement for two reasons:</w:t>
            </w:r>
          </w:p>
          <w:p w14:paraId="5F8BC5CE" w14:textId="6AA7EA41" w:rsidR="00A524BF" w:rsidRPr="00FE1620" w:rsidRDefault="00A524BF" w:rsidP="00FE28C9">
            <w:pPr>
              <w:pStyle w:val="BodyText"/>
              <w:numPr>
                <w:ilvl w:val="0"/>
                <w:numId w:val="30"/>
              </w:numPr>
              <w:rPr>
                <w:color w:val="002060"/>
              </w:rPr>
            </w:pPr>
            <w:r w:rsidRPr="00FE1620">
              <w:rPr>
                <w:color w:val="002060"/>
              </w:rPr>
              <w:t xml:space="preserve">It makes commercial sense for both parties to know what the services are, what the cost is, each other’s obligations etc.; and </w:t>
            </w:r>
          </w:p>
          <w:p w14:paraId="46C7EF4A" w14:textId="1A008C54" w:rsidR="00A524BF" w:rsidRPr="00E947B1" w:rsidRDefault="00B16A2C" w:rsidP="00FE28C9">
            <w:pPr>
              <w:pStyle w:val="BodyText"/>
              <w:numPr>
                <w:ilvl w:val="0"/>
                <w:numId w:val="30"/>
              </w:numPr>
              <w:rPr>
                <w:color w:val="002060"/>
              </w:rPr>
            </w:pPr>
            <w:r>
              <w:rPr>
                <w:color w:val="002060"/>
              </w:rPr>
              <w:t>T</w:t>
            </w:r>
            <w:r w:rsidR="00A524BF" w:rsidRPr="00FE1620">
              <w:rPr>
                <w:color w:val="002060"/>
              </w:rPr>
              <w:t xml:space="preserve">o claim a Transfer Fee you </w:t>
            </w:r>
            <w:r w:rsidR="00D70003">
              <w:rPr>
                <w:color w:val="002060"/>
              </w:rPr>
              <w:t>must</w:t>
            </w:r>
            <w:r w:rsidR="00A524BF" w:rsidRPr="00FE1620">
              <w:rPr>
                <w:color w:val="002060"/>
              </w:rPr>
              <w:t xml:space="preserve"> be able to demonstrate that you have given the </w:t>
            </w:r>
            <w:r w:rsidR="001E6E2E" w:rsidRPr="00FE1620">
              <w:rPr>
                <w:color w:val="002060"/>
              </w:rPr>
              <w:t>c</w:t>
            </w:r>
            <w:r w:rsidR="00A524BF" w:rsidRPr="00FE1620">
              <w:rPr>
                <w:color w:val="002060"/>
              </w:rPr>
              <w:t xml:space="preserve">lient the alternative of taking the </w:t>
            </w:r>
            <w:r w:rsidR="009263EB" w:rsidRPr="00FE1620">
              <w:rPr>
                <w:color w:val="002060"/>
              </w:rPr>
              <w:t>Temporary Resource</w:t>
            </w:r>
            <w:r w:rsidR="00A524BF" w:rsidRPr="00FE1620">
              <w:rPr>
                <w:color w:val="002060"/>
              </w:rPr>
              <w:t xml:space="preserve"> for an extended period of hire, which you</w:t>
            </w:r>
            <w:r>
              <w:rPr>
                <w:color w:val="002060"/>
              </w:rPr>
              <w:t xml:space="preserve">  cannot prove </w:t>
            </w:r>
            <w:r w:rsidR="00A524BF" w:rsidRPr="00FE1620">
              <w:rPr>
                <w:color w:val="002060"/>
              </w:rPr>
              <w:t xml:space="preserve"> without terms.  </w:t>
            </w:r>
          </w:p>
        </w:tc>
      </w:tr>
      <w:tr w:rsidR="00A524BF" w14:paraId="1A2D88DB" w14:textId="77777777" w:rsidTr="001C3C6E">
        <w:tc>
          <w:tcPr>
            <w:tcW w:w="1250" w:type="dxa"/>
          </w:tcPr>
          <w:p w14:paraId="1CCD6F87" w14:textId="77777777" w:rsidR="00A524BF" w:rsidRPr="00661B5F" w:rsidRDefault="00A524BF" w:rsidP="00FE28C9">
            <w:pPr>
              <w:pStyle w:val="BodyText"/>
              <w:numPr>
                <w:ilvl w:val="0"/>
                <w:numId w:val="22"/>
              </w:numPr>
            </w:pPr>
          </w:p>
        </w:tc>
        <w:tc>
          <w:tcPr>
            <w:tcW w:w="2588" w:type="dxa"/>
          </w:tcPr>
          <w:p w14:paraId="103C4F89" w14:textId="1ED6960D" w:rsidR="00A524BF" w:rsidRPr="00FE1620" w:rsidRDefault="00A524BF" w:rsidP="00E947B1">
            <w:pPr>
              <w:pStyle w:val="BodyText"/>
            </w:pPr>
            <w:r w:rsidRPr="00FE1620">
              <w:rPr>
                <w:bCs/>
              </w:rPr>
              <w:t xml:space="preserve">2.2 </w:t>
            </w:r>
            <w:r w:rsidR="00B06705">
              <w:rPr>
                <w:bCs/>
              </w:rPr>
              <w:t>and</w:t>
            </w:r>
            <w:r w:rsidRPr="00FE1620">
              <w:rPr>
                <w:bCs/>
              </w:rPr>
              <w:t xml:space="preserve"> 2.3</w:t>
            </w:r>
            <w:r w:rsidR="00E947B1">
              <w:rPr>
                <w:bCs/>
              </w:rPr>
              <w:t xml:space="preserve"> </w:t>
            </w:r>
            <w:r w:rsidRPr="00FE1620">
              <w:rPr>
                <w:bCs/>
              </w:rPr>
              <w:t>(The Agreement)</w:t>
            </w:r>
          </w:p>
        </w:tc>
        <w:tc>
          <w:tcPr>
            <w:tcW w:w="5178" w:type="dxa"/>
          </w:tcPr>
          <w:p w14:paraId="74C3E4CD" w14:textId="211B0829" w:rsidR="00A524BF" w:rsidRPr="00E947B1" w:rsidRDefault="00A524BF" w:rsidP="001C3C6E">
            <w:pPr>
              <w:pStyle w:val="BodyText"/>
              <w:rPr>
                <w:bCs/>
                <w:color w:val="002060"/>
              </w:rPr>
            </w:pPr>
            <w:r w:rsidRPr="00FE1620">
              <w:rPr>
                <w:bCs/>
                <w:color w:val="002060"/>
              </w:rPr>
              <w:t xml:space="preserve">We recommend that only one or a small number of staff can </w:t>
            </w:r>
            <w:r w:rsidR="00AD2A57">
              <w:rPr>
                <w:bCs/>
                <w:color w:val="002060"/>
              </w:rPr>
              <w:t>change</w:t>
            </w:r>
            <w:r w:rsidRPr="00FE1620">
              <w:rPr>
                <w:bCs/>
                <w:color w:val="002060"/>
              </w:rPr>
              <w:t xml:space="preserve"> these terms. You should state who has the authority to </w:t>
            </w:r>
            <w:r w:rsidR="00AD2A57">
              <w:rPr>
                <w:bCs/>
                <w:color w:val="002060"/>
              </w:rPr>
              <w:t>do so</w:t>
            </w:r>
            <w:r w:rsidRPr="00FE1620">
              <w:rPr>
                <w:bCs/>
                <w:color w:val="002060"/>
              </w:rPr>
              <w:t xml:space="preserve"> e.g. either director or partner or proprietor, where appropriate.</w:t>
            </w:r>
          </w:p>
        </w:tc>
      </w:tr>
      <w:tr w:rsidR="00A524BF" w14:paraId="2576A785" w14:textId="77777777" w:rsidTr="001C3C6E">
        <w:tc>
          <w:tcPr>
            <w:tcW w:w="1250" w:type="dxa"/>
          </w:tcPr>
          <w:p w14:paraId="2532DB1F" w14:textId="77777777" w:rsidR="00A524BF" w:rsidRPr="00661B5F" w:rsidRDefault="00A524BF" w:rsidP="00FE28C9">
            <w:pPr>
              <w:pStyle w:val="BodyText"/>
              <w:numPr>
                <w:ilvl w:val="0"/>
                <w:numId w:val="22"/>
              </w:numPr>
            </w:pPr>
          </w:p>
        </w:tc>
        <w:tc>
          <w:tcPr>
            <w:tcW w:w="2588" w:type="dxa"/>
          </w:tcPr>
          <w:p w14:paraId="2B0CE8F0" w14:textId="048839C3" w:rsidR="00A524BF" w:rsidRPr="00FE1620" w:rsidRDefault="00A524BF" w:rsidP="00E947B1">
            <w:pPr>
              <w:pStyle w:val="BodyText"/>
            </w:pPr>
            <w:r w:rsidRPr="00FE1620">
              <w:rPr>
                <w:bCs/>
              </w:rPr>
              <w:t>2.</w:t>
            </w:r>
            <w:r w:rsidR="00AC7571">
              <w:rPr>
                <w:bCs/>
              </w:rPr>
              <w:t>3</w:t>
            </w:r>
            <w:r w:rsidRPr="00FE1620">
              <w:rPr>
                <w:bCs/>
              </w:rPr>
              <w:t xml:space="preserve"> (The Agreement)</w:t>
            </w:r>
          </w:p>
        </w:tc>
        <w:tc>
          <w:tcPr>
            <w:tcW w:w="5178" w:type="dxa"/>
          </w:tcPr>
          <w:p w14:paraId="57374CB6" w14:textId="4292DDB0" w:rsidR="00A524BF" w:rsidRPr="00CD127A" w:rsidRDefault="009263EB" w:rsidP="001C3C6E">
            <w:pPr>
              <w:pStyle w:val="BodyText"/>
              <w:rPr>
                <w:bCs/>
              </w:rPr>
            </w:pPr>
            <w:r>
              <w:rPr>
                <w:bCs/>
              </w:rPr>
              <w:t xml:space="preserve">The REC Code of Professional Practice requires members to agree the terms with the client before providing any services to the client.  At the latest they must be agreed with the client before they receive the details of any </w:t>
            </w:r>
            <w:r w:rsidR="00A524BF" w:rsidRPr="00CD127A">
              <w:rPr>
                <w:bCs/>
              </w:rPr>
              <w:t xml:space="preserve">Temporary Resource or Intermediary. </w:t>
            </w:r>
          </w:p>
          <w:p w14:paraId="7F86BD74" w14:textId="77777777" w:rsidR="00A524BF" w:rsidRPr="00CD127A" w:rsidRDefault="00A524BF" w:rsidP="001C3C6E">
            <w:pPr>
              <w:pStyle w:val="BodyText"/>
              <w:rPr>
                <w:bCs/>
              </w:rPr>
            </w:pPr>
          </w:p>
          <w:p w14:paraId="6F1EF516" w14:textId="61D8FCB7" w:rsidR="00A524BF" w:rsidRPr="00CD127A" w:rsidRDefault="00AD2A57" w:rsidP="001C3C6E">
            <w:pPr>
              <w:pStyle w:val="BodyText"/>
            </w:pPr>
            <w:r>
              <w:t xml:space="preserve">You must </w:t>
            </w:r>
            <w:r w:rsidR="00A524BF" w:rsidRPr="00CD127A">
              <w:t xml:space="preserve">ensure that the </w:t>
            </w:r>
            <w:r w:rsidR="001E6E2E">
              <w:t>c</w:t>
            </w:r>
            <w:r w:rsidR="00A524BF" w:rsidRPr="00CD127A">
              <w:t xml:space="preserve">lient accepts your terms and does not substitute their own terms in place of yours. This can happen unintentionally when a </w:t>
            </w:r>
            <w:r w:rsidR="001E6E2E">
              <w:t>c</w:t>
            </w:r>
            <w:r w:rsidR="00A524BF" w:rsidRPr="00CD127A">
              <w:t xml:space="preserve">lient </w:t>
            </w:r>
            <w:r>
              <w:t>gives you</w:t>
            </w:r>
            <w:r w:rsidR="00A524BF" w:rsidRPr="00CD127A">
              <w:t xml:space="preserve"> a purchase order specifying conflicting terms after receipt of your terms of business. So</w:t>
            </w:r>
            <w:r w:rsidR="001E6E2E">
              <w:t>,</w:t>
            </w:r>
            <w:r w:rsidR="00A524BF" w:rsidRPr="00CD127A">
              <w:t xml:space="preserve"> it is always sensible to confirm in writing that your terms will prevail.</w:t>
            </w:r>
          </w:p>
          <w:p w14:paraId="11AD4734" w14:textId="77777777" w:rsidR="00A524BF" w:rsidRPr="00CD127A" w:rsidRDefault="00A524BF" w:rsidP="001C3C6E">
            <w:pPr>
              <w:pStyle w:val="BodyText"/>
              <w:rPr>
                <w:bCs/>
              </w:rPr>
            </w:pPr>
          </w:p>
          <w:p w14:paraId="6C8A2808" w14:textId="064DD9B3" w:rsidR="00E947B1" w:rsidRDefault="00A524BF" w:rsidP="001C3C6E">
            <w:pPr>
              <w:pStyle w:val="BodyText"/>
              <w:rPr>
                <w:bCs/>
              </w:rPr>
            </w:pPr>
            <w:r w:rsidRPr="00CD127A">
              <w:rPr>
                <w:bCs/>
              </w:rPr>
              <w:t>I</w:t>
            </w:r>
            <w:r w:rsidR="00DE2712">
              <w:rPr>
                <w:bCs/>
              </w:rPr>
              <w:t xml:space="preserve">f you want </w:t>
            </w:r>
            <w:r w:rsidR="00E947B1">
              <w:rPr>
                <w:bCs/>
              </w:rPr>
              <w:t xml:space="preserve">to </w:t>
            </w:r>
            <w:r w:rsidR="00E947B1" w:rsidRPr="00CD127A">
              <w:rPr>
                <w:bCs/>
              </w:rPr>
              <w:t>claim</w:t>
            </w:r>
            <w:r w:rsidRPr="00CD127A">
              <w:rPr>
                <w:bCs/>
              </w:rPr>
              <w:t xml:space="preserve"> a Transfer Fee you </w:t>
            </w:r>
            <w:r w:rsidR="009F7B63">
              <w:rPr>
                <w:bCs/>
              </w:rPr>
              <w:t>must</w:t>
            </w:r>
            <w:r w:rsidRPr="00CD127A">
              <w:rPr>
                <w:bCs/>
              </w:rPr>
              <w:t xml:space="preserve"> be able to </w:t>
            </w:r>
            <w:r w:rsidR="009F7B63">
              <w:rPr>
                <w:bCs/>
              </w:rPr>
              <w:t>show</w:t>
            </w:r>
            <w:r w:rsidR="009F7B63" w:rsidRPr="00CD127A">
              <w:rPr>
                <w:bCs/>
              </w:rPr>
              <w:t xml:space="preserve"> </w:t>
            </w:r>
            <w:r w:rsidRPr="00CD127A">
              <w:rPr>
                <w:bCs/>
              </w:rPr>
              <w:t xml:space="preserve">that the </w:t>
            </w:r>
            <w:r w:rsidR="001E6E2E">
              <w:rPr>
                <w:bCs/>
              </w:rPr>
              <w:t>c</w:t>
            </w:r>
            <w:r w:rsidRPr="00CD127A">
              <w:rPr>
                <w:bCs/>
              </w:rPr>
              <w:t xml:space="preserve">lient has accepted these terms. We recommend that you send these terms by registered </w:t>
            </w:r>
            <w:r w:rsidRPr="00CD127A">
              <w:rPr>
                <w:bCs/>
              </w:rPr>
              <w:lastRenderedPageBreak/>
              <w:t xml:space="preserve">post, by email using read receipt or by fax and that you keep a record of the fact they were sent with a copy of any confirmation that the email has been read or fax transmitted. Ideally you should </w:t>
            </w:r>
            <w:r w:rsidR="00274EAD">
              <w:rPr>
                <w:bCs/>
              </w:rPr>
              <w:t>get</w:t>
            </w:r>
            <w:r w:rsidRPr="00CD127A">
              <w:rPr>
                <w:bCs/>
              </w:rPr>
              <w:t xml:space="preserve"> a signature from an authorised person at the </w:t>
            </w:r>
            <w:r w:rsidR="001E6E2E">
              <w:rPr>
                <w:bCs/>
              </w:rPr>
              <w:t>c</w:t>
            </w:r>
            <w:r w:rsidRPr="00CD127A">
              <w:rPr>
                <w:bCs/>
              </w:rPr>
              <w:t xml:space="preserve">lient to confirm acceptance of these terms. </w:t>
            </w:r>
          </w:p>
          <w:p w14:paraId="18A22BF5" w14:textId="77777777" w:rsidR="00E947B1" w:rsidRDefault="00E947B1" w:rsidP="001C3C6E">
            <w:pPr>
              <w:pStyle w:val="BodyText"/>
              <w:rPr>
                <w:bCs/>
              </w:rPr>
            </w:pPr>
          </w:p>
          <w:p w14:paraId="29510D44" w14:textId="0B2EACA7" w:rsidR="00A524BF" w:rsidRPr="00C12072" w:rsidRDefault="00A524BF" w:rsidP="001C3C6E">
            <w:pPr>
              <w:pStyle w:val="BodyText"/>
            </w:pPr>
            <w:r w:rsidRPr="00CD127A">
              <w:rPr>
                <w:bCs/>
              </w:rPr>
              <w:t xml:space="preserve">If you cannot get a signature, try to get an acknowledgement from the </w:t>
            </w:r>
            <w:r w:rsidR="001E6E2E">
              <w:rPr>
                <w:bCs/>
              </w:rPr>
              <w:t>c</w:t>
            </w:r>
            <w:r w:rsidRPr="00CD127A">
              <w:rPr>
                <w:bCs/>
              </w:rPr>
              <w:t xml:space="preserve">lient in an email that they have accepted your terms. If you do not have a signature or such acknowledgement it may be difficult to demonstrate, in the case of a dispute, that the </w:t>
            </w:r>
            <w:r w:rsidR="001E6E2E">
              <w:rPr>
                <w:bCs/>
              </w:rPr>
              <w:t>c</w:t>
            </w:r>
            <w:r w:rsidRPr="00CD127A">
              <w:rPr>
                <w:bCs/>
              </w:rPr>
              <w:t>lient did accept your terms.</w:t>
            </w:r>
            <w:r w:rsidR="00E10604">
              <w:rPr>
                <w:bCs/>
              </w:rPr>
              <w:t xml:space="preserve"> </w:t>
            </w:r>
          </w:p>
        </w:tc>
      </w:tr>
      <w:tr w:rsidR="00A524BF" w14:paraId="79381BF8" w14:textId="77777777" w:rsidTr="001C3C6E">
        <w:tc>
          <w:tcPr>
            <w:tcW w:w="1250" w:type="dxa"/>
          </w:tcPr>
          <w:p w14:paraId="0EDC3C54" w14:textId="77777777" w:rsidR="00A524BF" w:rsidRPr="00661B5F" w:rsidRDefault="00A524BF" w:rsidP="00FE28C9">
            <w:pPr>
              <w:pStyle w:val="BodyText"/>
              <w:numPr>
                <w:ilvl w:val="0"/>
                <w:numId w:val="22"/>
              </w:numPr>
            </w:pPr>
          </w:p>
        </w:tc>
        <w:tc>
          <w:tcPr>
            <w:tcW w:w="2588" w:type="dxa"/>
          </w:tcPr>
          <w:p w14:paraId="3203116C" w14:textId="0D202BE7" w:rsidR="00A524BF" w:rsidRPr="00FE1620" w:rsidRDefault="00A524BF" w:rsidP="00E947B1">
            <w:pPr>
              <w:pStyle w:val="BodyText"/>
            </w:pPr>
            <w:r w:rsidRPr="00FE1620">
              <w:rPr>
                <w:bCs/>
              </w:rPr>
              <w:t>2.5 (The Agreement)</w:t>
            </w:r>
          </w:p>
        </w:tc>
        <w:tc>
          <w:tcPr>
            <w:tcW w:w="5178" w:type="dxa"/>
          </w:tcPr>
          <w:p w14:paraId="3AC02AD6" w14:textId="6B17B32F" w:rsidR="00A524BF" w:rsidRPr="00C12072" w:rsidRDefault="009F7B63" w:rsidP="001C3C6E">
            <w:pPr>
              <w:pStyle w:val="BodyText"/>
            </w:pPr>
            <w:r>
              <w:rPr>
                <w:bCs/>
              </w:rPr>
              <w:t>This statement</w:t>
            </w:r>
            <w:r w:rsidR="00A524BF" w:rsidRPr="00CD127A">
              <w:rPr>
                <w:bCs/>
              </w:rPr>
              <w:t xml:space="preserve"> is a requirement </w:t>
            </w:r>
            <w:r>
              <w:rPr>
                <w:bCs/>
              </w:rPr>
              <w:t xml:space="preserve">of </w:t>
            </w:r>
            <w:r w:rsidR="00A524BF" w:rsidRPr="00CD127A">
              <w:rPr>
                <w:bCs/>
              </w:rPr>
              <w:t>the Conduct Regulations</w:t>
            </w:r>
            <w:r w:rsidR="001947BD">
              <w:rPr>
                <w:bCs/>
              </w:rPr>
              <w:t xml:space="preserve"> - d</w:t>
            </w:r>
            <w:r>
              <w:rPr>
                <w:bCs/>
              </w:rPr>
              <w:t xml:space="preserve">o not delete </w:t>
            </w:r>
            <w:r w:rsidR="001947BD">
              <w:rPr>
                <w:bCs/>
              </w:rPr>
              <w:t>it</w:t>
            </w:r>
            <w:r>
              <w:rPr>
                <w:bCs/>
              </w:rPr>
              <w:t xml:space="preserve">.    </w:t>
            </w:r>
          </w:p>
        </w:tc>
      </w:tr>
      <w:tr w:rsidR="00A524BF" w14:paraId="30C322D9" w14:textId="77777777" w:rsidTr="001C3C6E">
        <w:tc>
          <w:tcPr>
            <w:tcW w:w="1250" w:type="dxa"/>
          </w:tcPr>
          <w:p w14:paraId="7F4C0E63" w14:textId="77777777" w:rsidR="00A524BF" w:rsidRPr="00661B5F" w:rsidRDefault="00A524BF" w:rsidP="00FE28C9">
            <w:pPr>
              <w:pStyle w:val="BodyText"/>
              <w:numPr>
                <w:ilvl w:val="0"/>
                <w:numId w:val="22"/>
              </w:numPr>
            </w:pPr>
          </w:p>
        </w:tc>
        <w:tc>
          <w:tcPr>
            <w:tcW w:w="2588" w:type="dxa"/>
          </w:tcPr>
          <w:p w14:paraId="23D0E307" w14:textId="3BC4AD13" w:rsidR="00A524BF" w:rsidRPr="00FE1620" w:rsidRDefault="00A524BF" w:rsidP="00E947B1">
            <w:pPr>
              <w:pStyle w:val="BodyText"/>
            </w:pPr>
            <w:r w:rsidRPr="00FE1620">
              <w:rPr>
                <w:bCs/>
              </w:rPr>
              <w:t xml:space="preserve">2.6 (The Agreement) </w:t>
            </w:r>
          </w:p>
        </w:tc>
        <w:tc>
          <w:tcPr>
            <w:tcW w:w="5178" w:type="dxa"/>
          </w:tcPr>
          <w:p w14:paraId="1FA24F26" w14:textId="69F352B0" w:rsidR="00A524BF" w:rsidRPr="00226B21" w:rsidRDefault="00A524BF" w:rsidP="001C3C6E">
            <w:pPr>
              <w:pStyle w:val="BodyText"/>
            </w:pPr>
            <w:r w:rsidRPr="00226B21">
              <w:t xml:space="preserve">Beware of using sham substitution, assignment or sub-contracting clauses or sham clauses regarding flexibility and autonomy. Such clauses </w:t>
            </w:r>
            <w:r w:rsidRPr="00B96D36">
              <w:rPr>
                <w:rStyle w:val="Strong"/>
                <w:b w:val="0"/>
              </w:rPr>
              <w:t>will not by themselves determine that</w:t>
            </w:r>
            <w:r w:rsidR="009F7B63" w:rsidRPr="00B96D36">
              <w:rPr>
                <w:rStyle w:val="Strong"/>
                <w:b w:val="0"/>
              </w:rPr>
              <w:t xml:space="preserve"> someone working through a PSC </w:t>
            </w:r>
            <w:r w:rsidRPr="00B96D36">
              <w:rPr>
                <w:rStyle w:val="Strong"/>
                <w:b w:val="0"/>
              </w:rPr>
              <w:t xml:space="preserve">is self-employed and </w:t>
            </w:r>
            <w:r w:rsidR="001E6E2E" w:rsidRPr="00B96D36">
              <w:rPr>
                <w:rStyle w:val="Strong"/>
                <w:b w:val="0"/>
              </w:rPr>
              <w:t>o</w:t>
            </w:r>
            <w:r w:rsidRPr="00B96D36">
              <w:rPr>
                <w:rStyle w:val="Strong"/>
                <w:b w:val="0"/>
              </w:rPr>
              <w:t>utside IR35 or</w:t>
            </w:r>
            <w:r w:rsidR="009F7B63" w:rsidRPr="00B96D36">
              <w:rPr>
                <w:rStyle w:val="Strong"/>
                <w:b w:val="0"/>
              </w:rPr>
              <w:t>,</w:t>
            </w:r>
            <w:r w:rsidRPr="00B96D36">
              <w:rPr>
                <w:rStyle w:val="Strong"/>
                <w:b w:val="0"/>
              </w:rPr>
              <w:t xml:space="preserve"> not under </w:t>
            </w:r>
            <w:proofErr w:type="spellStart"/>
            <w:r w:rsidRPr="00B96D36">
              <w:rPr>
                <w:rStyle w:val="Strong"/>
                <w:b w:val="0"/>
              </w:rPr>
              <w:t>SDC</w:t>
            </w:r>
            <w:proofErr w:type="spellEnd"/>
            <w:r w:rsidRPr="00B96D36">
              <w:rPr>
                <w:rStyle w:val="Strong"/>
                <w:b w:val="0"/>
              </w:rPr>
              <w:t xml:space="preserve"> if the reality is that </w:t>
            </w:r>
            <w:r w:rsidR="000A401B" w:rsidRPr="00B96D36">
              <w:rPr>
                <w:rStyle w:val="Strong"/>
                <w:b w:val="0"/>
              </w:rPr>
              <w:t>t</w:t>
            </w:r>
            <w:r w:rsidR="000A401B" w:rsidRPr="00226B21">
              <w:rPr>
                <w:rStyle w:val="Strong"/>
                <w:b w:val="0"/>
              </w:rPr>
              <w:t>hey</w:t>
            </w:r>
            <w:r w:rsidRPr="00B96D36">
              <w:rPr>
                <w:rStyle w:val="Strong"/>
                <w:b w:val="0"/>
              </w:rPr>
              <w:t xml:space="preserve"> </w:t>
            </w:r>
            <w:r w:rsidR="000A401B" w:rsidRPr="00B96D36">
              <w:rPr>
                <w:rStyle w:val="Strong"/>
                <w:b w:val="0"/>
              </w:rPr>
              <w:t>a</w:t>
            </w:r>
            <w:r w:rsidR="000A401B" w:rsidRPr="00226B21">
              <w:rPr>
                <w:rStyle w:val="Strong"/>
                <w:b w:val="0"/>
              </w:rPr>
              <w:t>re</w:t>
            </w:r>
            <w:r w:rsidRPr="00B96D36">
              <w:rPr>
                <w:rStyle w:val="Strong"/>
                <w:b w:val="0"/>
              </w:rPr>
              <w:t xml:space="preserve"> not.  </w:t>
            </w:r>
          </w:p>
        </w:tc>
      </w:tr>
      <w:tr w:rsidR="00A524BF" w14:paraId="1211B88D" w14:textId="77777777" w:rsidTr="001C3C6E">
        <w:tc>
          <w:tcPr>
            <w:tcW w:w="1250" w:type="dxa"/>
          </w:tcPr>
          <w:p w14:paraId="01F6B883" w14:textId="77777777" w:rsidR="00A524BF" w:rsidRPr="00661B5F" w:rsidRDefault="00A524BF" w:rsidP="00FE28C9">
            <w:pPr>
              <w:pStyle w:val="BodyText"/>
              <w:numPr>
                <w:ilvl w:val="0"/>
                <w:numId w:val="22"/>
              </w:numPr>
            </w:pPr>
          </w:p>
        </w:tc>
        <w:tc>
          <w:tcPr>
            <w:tcW w:w="2588" w:type="dxa"/>
          </w:tcPr>
          <w:p w14:paraId="71112977" w14:textId="2B11D6E3" w:rsidR="00A524BF" w:rsidRPr="00FE1620" w:rsidRDefault="00A524BF" w:rsidP="00E947B1">
            <w:pPr>
              <w:pStyle w:val="BodyText"/>
            </w:pPr>
            <w:r w:rsidRPr="00FE1620">
              <w:rPr>
                <w:bCs/>
              </w:rPr>
              <w:t>2.</w:t>
            </w:r>
            <w:r w:rsidR="00B06705">
              <w:rPr>
                <w:bCs/>
              </w:rPr>
              <w:t>7</w:t>
            </w:r>
            <w:r w:rsidRPr="00FE1620">
              <w:rPr>
                <w:bCs/>
              </w:rPr>
              <w:t xml:space="preserve"> (</w:t>
            </w:r>
            <w:r w:rsidR="00E3492A">
              <w:rPr>
                <w:bCs/>
              </w:rPr>
              <w:t>Exclusivity Period</w:t>
            </w:r>
            <w:r w:rsidRPr="00FE1620">
              <w:rPr>
                <w:bCs/>
              </w:rPr>
              <w:t>)</w:t>
            </w:r>
          </w:p>
        </w:tc>
        <w:tc>
          <w:tcPr>
            <w:tcW w:w="5178" w:type="dxa"/>
          </w:tcPr>
          <w:p w14:paraId="3A70BD0F" w14:textId="0F0536ED" w:rsidR="00A524BF" w:rsidRPr="00C12072" w:rsidRDefault="00A524BF" w:rsidP="001C3C6E">
            <w:pPr>
              <w:pStyle w:val="BodyText"/>
            </w:pPr>
            <w:r w:rsidRPr="00CD127A">
              <w:t xml:space="preserve">This optional clause sets out the exclusive agreement between the Employment Business and the </w:t>
            </w:r>
            <w:r w:rsidR="001E6E2E">
              <w:t>c</w:t>
            </w:r>
            <w:r w:rsidRPr="00CD127A">
              <w:t xml:space="preserve">lient which prevents the </w:t>
            </w:r>
            <w:r w:rsidR="001E6E2E">
              <w:t>c</w:t>
            </w:r>
            <w:r w:rsidRPr="00CD127A">
              <w:t xml:space="preserve">lient from using the services of another employment business to find </w:t>
            </w:r>
            <w:r w:rsidR="00C95C35">
              <w:t>work seeker</w:t>
            </w:r>
            <w:r w:rsidRPr="00CD127A">
              <w:t xml:space="preserve">s. Only use this if you have agreed an exclusive arrangement with your </w:t>
            </w:r>
            <w:r w:rsidR="001E6E2E">
              <w:t>c</w:t>
            </w:r>
            <w:r w:rsidRPr="00CD127A">
              <w:t xml:space="preserve">lient. </w:t>
            </w:r>
          </w:p>
        </w:tc>
      </w:tr>
      <w:tr w:rsidR="00A524BF" w14:paraId="1FAA8D5E" w14:textId="77777777" w:rsidTr="001C3C6E">
        <w:tc>
          <w:tcPr>
            <w:tcW w:w="1250" w:type="dxa"/>
          </w:tcPr>
          <w:p w14:paraId="06925525" w14:textId="77777777" w:rsidR="00A524BF" w:rsidRPr="00661B5F" w:rsidRDefault="00A524BF" w:rsidP="00FE28C9">
            <w:pPr>
              <w:pStyle w:val="BodyText"/>
              <w:numPr>
                <w:ilvl w:val="0"/>
                <w:numId w:val="22"/>
              </w:numPr>
            </w:pPr>
          </w:p>
        </w:tc>
        <w:tc>
          <w:tcPr>
            <w:tcW w:w="2588" w:type="dxa"/>
          </w:tcPr>
          <w:p w14:paraId="36D931C0" w14:textId="4A38FBB9" w:rsidR="00A524BF" w:rsidRPr="00FE1620" w:rsidRDefault="00A524BF" w:rsidP="00E947B1">
            <w:pPr>
              <w:pStyle w:val="BodyText"/>
            </w:pPr>
            <w:r w:rsidRPr="00FE1620">
              <w:rPr>
                <w:bCs/>
              </w:rPr>
              <w:t>3</w:t>
            </w:r>
            <w:r w:rsidR="00E947B1">
              <w:rPr>
                <w:bCs/>
              </w:rPr>
              <w:t xml:space="preserve"> </w:t>
            </w:r>
            <w:r w:rsidRPr="00FE1620">
              <w:rPr>
                <w:bCs/>
              </w:rPr>
              <w:t>(The Client Obligations)</w:t>
            </w:r>
          </w:p>
        </w:tc>
        <w:tc>
          <w:tcPr>
            <w:tcW w:w="5178" w:type="dxa"/>
          </w:tcPr>
          <w:p w14:paraId="45566D43" w14:textId="1FAA5F99" w:rsidR="00A524BF" w:rsidRPr="00C12072" w:rsidRDefault="00A524BF" w:rsidP="001C3C6E">
            <w:pPr>
              <w:pStyle w:val="BodyText"/>
            </w:pPr>
            <w:r w:rsidRPr="00CD127A">
              <w:t xml:space="preserve">The employment business has </w:t>
            </w:r>
            <w:r w:rsidR="00B16A2C" w:rsidRPr="00CD127A">
              <w:t>several</w:t>
            </w:r>
            <w:r w:rsidRPr="00CD127A">
              <w:t xml:space="preserve"> obligations under</w:t>
            </w:r>
            <w:r w:rsidR="00FC311B">
              <w:t xml:space="preserve"> </w:t>
            </w:r>
            <w:r w:rsidR="00FC311B" w:rsidRPr="00FE1620">
              <w:t>different pieces of legislation</w:t>
            </w:r>
            <w:r w:rsidR="007A5FF9" w:rsidRPr="00FE1620">
              <w:t xml:space="preserve"> including</w:t>
            </w:r>
            <w:r w:rsidR="007A5FF9">
              <w:t xml:space="preserve"> </w:t>
            </w:r>
            <w:proofErr w:type="spellStart"/>
            <w:r w:rsidR="007A5FF9" w:rsidRPr="00FE1620">
              <w:t>AWR</w:t>
            </w:r>
            <w:proofErr w:type="spellEnd"/>
            <w:r w:rsidR="007A5FF9" w:rsidRPr="00FE1620">
              <w:t xml:space="preserve">, </w:t>
            </w:r>
            <w:r w:rsidRPr="00FE1620">
              <w:t>the</w:t>
            </w:r>
            <w:r w:rsidRPr="00CD127A">
              <w:t xml:space="preserve"> Conduct Regulations</w:t>
            </w:r>
            <w:r w:rsidR="007A5FF9">
              <w:t xml:space="preserve"> and </w:t>
            </w:r>
            <w:proofErr w:type="spellStart"/>
            <w:r w:rsidR="007A5FF9">
              <w:t>ITEPA</w:t>
            </w:r>
            <w:proofErr w:type="spellEnd"/>
            <w:r w:rsidR="007A5FF9">
              <w:t>.  I</w:t>
            </w:r>
            <w:r w:rsidRPr="00CD127A">
              <w:t xml:space="preserve">t needs certain information from the client to be able to meet those </w:t>
            </w:r>
            <w:r w:rsidR="00E947B1" w:rsidRPr="00CD127A">
              <w:t>requirements,</w:t>
            </w:r>
            <w:r w:rsidRPr="00CD127A">
              <w:t xml:space="preserve"> so we have</w:t>
            </w:r>
            <w:r w:rsidR="007A5FF9">
              <w:t xml:space="preserve"> </w:t>
            </w:r>
            <w:r w:rsidRPr="00CD127A">
              <w:t xml:space="preserve">made it a contractual obligation on the </w:t>
            </w:r>
            <w:r w:rsidR="001E6E2E">
              <w:t>c</w:t>
            </w:r>
            <w:r w:rsidRPr="00CD127A">
              <w:t xml:space="preserve">lient to provide this information. </w:t>
            </w:r>
          </w:p>
        </w:tc>
      </w:tr>
      <w:tr w:rsidR="00A524BF" w14:paraId="606862F0" w14:textId="77777777" w:rsidTr="001C3C6E">
        <w:tc>
          <w:tcPr>
            <w:tcW w:w="1250" w:type="dxa"/>
          </w:tcPr>
          <w:p w14:paraId="375A9AD4" w14:textId="77777777" w:rsidR="00A524BF" w:rsidRPr="00661B5F" w:rsidRDefault="00A524BF" w:rsidP="00FE28C9">
            <w:pPr>
              <w:pStyle w:val="BodyText"/>
              <w:numPr>
                <w:ilvl w:val="0"/>
                <w:numId w:val="22"/>
              </w:numPr>
            </w:pPr>
          </w:p>
        </w:tc>
        <w:tc>
          <w:tcPr>
            <w:tcW w:w="2588" w:type="dxa"/>
          </w:tcPr>
          <w:p w14:paraId="29F27E46" w14:textId="0443089C" w:rsidR="00A524BF" w:rsidRPr="00FE1620" w:rsidRDefault="00A524BF" w:rsidP="00E947B1">
            <w:pPr>
              <w:pStyle w:val="BodyText"/>
            </w:pPr>
            <w:r w:rsidRPr="00FE1620">
              <w:rPr>
                <w:bCs/>
              </w:rPr>
              <w:t xml:space="preserve">3.2 (The Client Obligations – </w:t>
            </w:r>
            <w:proofErr w:type="spellStart"/>
            <w:r w:rsidRPr="00FE1620">
              <w:rPr>
                <w:bCs/>
              </w:rPr>
              <w:t>ITEPA</w:t>
            </w:r>
            <w:proofErr w:type="spellEnd"/>
            <w:r w:rsidRPr="00FE1620">
              <w:rPr>
                <w:bCs/>
              </w:rPr>
              <w:t>)</w:t>
            </w:r>
          </w:p>
        </w:tc>
        <w:tc>
          <w:tcPr>
            <w:tcW w:w="5178" w:type="dxa"/>
          </w:tcPr>
          <w:p w14:paraId="1A699CF4" w14:textId="77777777" w:rsidR="00F73649" w:rsidRPr="00EE13F9" w:rsidRDefault="00F73649" w:rsidP="00C74FEC">
            <w:pPr>
              <w:pStyle w:val="BodyText"/>
              <w:rPr>
                <w:b/>
                <w:bCs/>
              </w:rPr>
            </w:pPr>
            <w:r w:rsidRPr="00EE13F9">
              <w:rPr>
                <w:b/>
                <w:bCs/>
              </w:rPr>
              <w:t>The Off-Payroll Rules:</w:t>
            </w:r>
          </w:p>
          <w:p w14:paraId="694850FA" w14:textId="77777777" w:rsidR="00F73649" w:rsidRDefault="00F73649" w:rsidP="00C74FEC">
            <w:pPr>
              <w:pStyle w:val="BodyText"/>
            </w:pPr>
          </w:p>
          <w:p w14:paraId="3E765ECC" w14:textId="60B70BB0" w:rsidR="00C74FEC" w:rsidRDefault="00C74FEC" w:rsidP="00C74FEC">
            <w:pPr>
              <w:pStyle w:val="BodyText"/>
            </w:pPr>
            <w:r>
              <w:t xml:space="preserve">Under this contract the client is exempt from the Off-Payroll Rules.  This means PSCs can continue to manage IR35 themselves.  </w:t>
            </w:r>
            <w:r w:rsidR="008D2ED1">
              <w:t xml:space="preserve">But </w:t>
            </w:r>
            <w:r>
              <w:t>if the client is no longer exempt, then it will hav</w:t>
            </w:r>
            <w:r w:rsidR="008D2ED1">
              <w:t xml:space="preserve">e </w:t>
            </w:r>
            <w:r>
              <w:t>a number of obligations under the Off-Payroll Rules, in particular:</w:t>
            </w:r>
          </w:p>
          <w:p w14:paraId="7C7F6553" w14:textId="77777777" w:rsidR="00C74FEC" w:rsidRDefault="00C74FEC" w:rsidP="00C74FEC">
            <w:pPr>
              <w:pStyle w:val="BodyText"/>
            </w:pPr>
          </w:p>
          <w:p w14:paraId="058F1591" w14:textId="43BF0FB2" w:rsidR="007A5FF9" w:rsidRPr="00FE1620" w:rsidRDefault="007A5FF9" w:rsidP="001C35DF">
            <w:pPr>
              <w:pStyle w:val="BodyText"/>
              <w:numPr>
                <w:ilvl w:val="0"/>
                <w:numId w:val="35"/>
              </w:numPr>
            </w:pPr>
            <w:r w:rsidRPr="00FE1620">
              <w:t xml:space="preserve">Where the individual works through a PSC, the </w:t>
            </w:r>
            <w:r w:rsidR="001E6E2E">
              <w:t>c</w:t>
            </w:r>
            <w:r w:rsidRPr="00FE1620">
              <w:t xml:space="preserve">lient must determine the status of </w:t>
            </w:r>
            <w:r w:rsidR="00C74FEC">
              <w:t>each</w:t>
            </w:r>
            <w:r w:rsidR="00C74FEC" w:rsidRPr="00FE1620">
              <w:t xml:space="preserve"> </w:t>
            </w:r>
            <w:r w:rsidRPr="00FE1620">
              <w:t xml:space="preserve">engagement.  </w:t>
            </w:r>
            <w:r>
              <w:t xml:space="preserve">The </w:t>
            </w:r>
            <w:r w:rsidR="001E6E2E">
              <w:t>c</w:t>
            </w:r>
            <w:r>
              <w:t xml:space="preserve">lient must take reasonable care when making its status decision. </w:t>
            </w:r>
            <w:r w:rsidRPr="00FE1620">
              <w:t xml:space="preserve">The </w:t>
            </w:r>
            <w:r w:rsidR="001E6E2E">
              <w:t>c</w:t>
            </w:r>
            <w:r w:rsidRPr="00FE1620">
              <w:t>lient must give a</w:t>
            </w:r>
            <w:r w:rsidR="00D70003">
              <w:t xml:space="preserve"> status determination statement </w:t>
            </w:r>
            <w:r w:rsidRPr="00FE1620">
              <w:t xml:space="preserve">to the employment </w:t>
            </w:r>
            <w:r w:rsidRPr="00FE1620">
              <w:lastRenderedPageBreak/>
              <w:t xml:space="preserve">business so that it knows whether to deduct tax and NICs, or not. </w:t>
            </w:r>
          </w:p>
          <w:p w14:paraId="3F258CCE" w14:textId="77777777" w:rsidR="007A5FF9" w:rsidRDefault="007A5FF9" w:rsidP="001C3C6E">
            <w:pPr>
              <w:pStyle w:val="BodyText"/>
            </w:pPr>
          </w:p>
          <w:p w14:paraId="56E3134D" w14:textId="29B60562" w:rsidR="00A524BF" w:rsidRPr="00C12072" w:rsidRDefault="00A524BF" w:rsidP="001C3C6E">
            <w:pPr>
              <w:pStyle w:val="BodyText"/>
            </w:pPr>
            <w:r w:rsidRPr="00CD127A">
              <w:t xml:space="preserve">The </w:t>
            </w:r>
            <w:r w:rsidR="001E6E2E">
              <w:t>c</w:t>
            </w:r>
            <w:r w:rsidRPr="00CD127A">
              <w:t xml:space="preserve">lient </w:t>
            </w:r>
            <w:r w:rsidR="007A5FF9">
              <w:t xml:space="preserve">must </w:t>
            </w:r>
            <w:r w:rsidRPr="00CD127A">
              <w:t xml:space="preserve">set up a client-led status disagreement process to help resolve disagreements about the </w:t>
            </w:r>
            <w:r w:rsidR="001E6E2E">
              <w:t>c</w:t>
            </w:r>
            <w:r w:rsidRPr="00CD127A">
              <w:t>lient’s status decision</w:t>
            </w:r>
            <w:r w:rsidR="00C74FEC">
              <w:t xml:space="preserve"> and </w:t>
            </w:r>
            <w:r w:rsidRPr="00CD127A">
              <w:t xml:space="preserve">must respond to </w:t>
            </w:r>
            <w:r w:rsidR="00C74FEC">
              <w:t xml:space="preserve">enquires </w:t>
            </w:r>
            <w:r w:rsidRPr="00CD127A">
              <w:t>within 45 days</w:t>
            </w:r>
            <w:r w:rsidR="00C74FEC">
              <w:t xml:space="preserve">. </w:t>
            </w:r>
            <w:r w:rsidRPr="00CD127A">
              <w:t xml:space="preserve">   </w:t>
            </w:r>
          </w:p>
        </w:tc>
      </w:tr>
      <w:tr w:rsidR="00F02300" w14:paraId="5E2BBC2F" w14:textId="77777777" w:rsidTr="001C3C6E">
        <w:tc>
          <w:tcPr>
            <w:tcW w:w="1250" w:type="dxa"/>
          </w:tcPr>
          <w:p w14:paraId="520FC192" w14:textId="77777777" w:rsidR="00F02300" w:rsidRPr="00661B5F" w:rsidRDefault="00F02300" w:rsidP="00F02300">
            <w:pPr>
              <w:pStyle w:val="BodyText"/>
              <w:numPr>
                <w:ilvl w:val="0"/>
                <w:numId w:val="22"/>
              </w:numPr>
            </w:pPr>
          </w:p>
        </w:tc>
        <w:tc>
          <w:tcPr>
            <w:tcW w:w="2588" w:type="dxa"/>
          </w:tcPr>
          <w:p w14:paraId="4181CDD7" w14:textId="630F1718" w:rsidR="00F02300" w:rsidRPr="00CE2237" w:rsidRDefault="00BC2580" w:rsidP="00B96D36">
            <w:pPr>
              <w:pStyle w:val="BodyText"/>
              <w:rPr>
                <w:bCs/>
              </w:rPr>
            </w:pPr>
            <w:r>
              <w:t xml:space="preserve">3.6 and </w:t>
            </w:r>
            <w:r w:rsidR="00F02300" w:rsidRPr="00CE2237">
              <w:t>3.</w:t>
            </w:r>
            <w:r w:rsidR="00F36857">
              <w:t>7</w:t>
            </w:r>
            <w:r w:rsidR="00F02300" w:rsidRPr="00CE2237">
              <w:t xml:space="preserve"> </w:t>
            </w:r>
            <w:r w:rsidR="003646CD">
              <w:t>(</w:t>
            </w:r>
            <w:r w:rsidR="00F02300" w:rsidRPr="00CE2237">
              <w:t xml:space="preserve">the Conduct Regulations) </w:t>
            </w:r>
          </w:p>
        </w:tc>
        <w:tc>
          <w:tcPr>
            <w:tcW w:w="5178" w:type="dxa"/>
          </w:tcPr>
          <w:p w14:paraId="2BC275BE" w14:textId="2D82DEAD" w:rsidR="00F02300" w:rsidRPr="00FE1620" w:rsidRDefault="00BC2580" w:rsidP="00F02300">
            <w:pPr>
              <w:pStyle w:val="BodyText"/>
            </w:pPr>
            <w:r w:rsidRPr="00BC2580">
              <w:t xml:space="preserve">These clauses reflect (a) the prohibition on supplying temporary workers to do the work of striking workers, set out in Regulation 7 of the Conduct Regulation and (b) there would be no detriment to a Temporary Resource if they take a particular assignment. </w:t>
            </w:r>
          </w:p>
        </w:tc>
      </w:tr>
      <w:tr w:rsidR="00F02300" w14:paraId="134C01C9" w14:textId="77777777" w:rsidTr="001C3C6E">
        <w:tc>
          <w:tcPr>
            <w:tcW w:w="1250" w:type="dxa"/>
          </w:tcPr>
          <w:p w14:paraId="63E1F753" w14:textId="77777777" w:rsidR="00F02300" w:rsidRPr="00661B5F" w:rsidRDefault="00F02300" w:rsidP="00F02300">
            <w:pPr>
              <w:pStyle w:val="BodyText"/>
              <w:numPr>
                <w:ilvl w:val="0"/>
                <w:numId w:val="22"/>
              </w:numPr>
            </w:pPr>
          </w:p>
        </w:tc>
        <w:tc>
          <w:tcPr>
            <w:tcW w:w="2588" w:type="dxa"/>
          </w:tcPr>
          <w:p w14:paraId="6EDA1F70" w14:textId="03340233" w:rsidR="00F02300" w:rsidRPr="00CE2237" w:rsidRDefault="00F02300" w:rsidP="00F02300">
            <w:pPr>
              <w:pStyle w:val="BodyText"/>
            </w:pPr>
            <w:r w:rsidRPr="00CE2237">
              <w:t>3.</w:t>
            </w:r>
            <w:r w:rsidR="00B5714F">
              <w:t>9</w:t>
            </w:r>
            <w:r w:rsidRPr="00CE2237">
              <w:t xml:space="preserve"> (</w:t>
            </w:r>
            <w:proofErr w:type="spellStart"/>
            <w:r w:rsidRPr="00CE2237">
              <w:t>AWR</w:t>
            </w:r>
            <w:proofErr w:type="spellEnd"/>
            <w:r w:rsidRPr="00CE2237">
              <w:t xml:space="preserve"> </w:t>
            </w:r>
            <w:r w:rsidRPr="00CE2237">
              <w:rPr>
                <w:bCs/>
              </w:rPr>
              <w:t>–</w:t>
            </w:r>
            <w:r w:rsidRPr="00CE2237">
              <w:t xml:space="preserve"> Day One Rights)</w:t>
            </w:r>
          </w:p>
        </w:tc>
        <w:tc>
          <w:tcPr>
            <w:tcW w:w="5178" w:type="dxa"/>
          </w:tcPr>
          <w:p w14:paraId="44DF9829" w14:textId="29D19D54" w:rsidR="00F02300" w:rsidRDefault="00F02300" w:rsidP="00F02300">
            <w:pPr>
              <w:pStyle w:val="BodyText"/>
              <w:rPr>
                <w:b/>
                <w:bCs/>
              </w:rPr>
            </w:pPr>
            <w:r w:rsidRPr="00E947B1">
              <w:rPr>
                <w:b/>
                <w:bCs/>
              </w:rPr>
              <w:t xml:space="preserve">Where </w:t>
            </w:r>
            <w:r w:rsidR="00620CDE">
              <w:rPr>
                <w:b/>
                <w:bCs/>
              </w:rPr>
              <w:t xml:space="preserve">the </w:t>
            </w:r>
            <w:proofErr w:type="spellStart"/>
            <w:r w:rsidRPr="00E947B1">
              <w:rPr>
                <w:b/>
                <w:bCs/>
              </w:rPr>
              <w:t>AWR</w:t>
            </w:r>
            <w:proofErr w:type="spellEnd"/>
            <w:r w:rsidRPr="00E947B1">
              <w:rPr>
                <w:b/>
                <w:bCs/>
              </w:rPr>
              <w:t xml:space="preserve"> apply:</w:t>
            </w:r>
          </w:p>
          <w:p w14:paraId="698D6CC4" w14:textId="77777777" w:rsidR="00620CDE" w:rsidRPr="00E947B1" w:rsidRDefault="00620CDE" w:rsidP="00F02300">
            <w:pPr>
              <w:pStyle w:val="BodyText"/>
              <w:rPr>
                <w:b/>
                <w:bCs/>
              </w:rPr>
            </w:pPr>
          </w:p>
          <w:p w14:paraId="40F5084B" w14:textId="2F0BA73F" w:rsidR="00F02300" w:rsidRPr="00C12072" w:rsidRDefault="00F02300" w:rsidP="00F02300">
            <w:pPr>
              <w:pStyle w:val="BodyText"/>
            </w:pPr>
            <w:r w:rsidRPr="00CD127A">
              <w:t xml:space="preserve">From day one of the assignment, </w:t>
            </w:r>
            <w:r>
              <w:t>an</w:t>
            </w:r>
            <w:r w:rsidRPr="00CD127A">
              <w:t xml:space="preserve"> </w:t>
            </w:r>
            <w:r>
              <w:t>Agency Worker</w:t>
            </w:r>
            <w:r w:rsidRPr="00CD127A">
              <w:t xml:space="preserve"> has the right to be treated by the </w:t>
            </w:r>
            <w:r>
              <w:t>c</w:t>
            </w:r>
            <w:r w:rsidRPr="00CD127A">
              <w:t xml:space="preserve">lient no less favourably than a comparable employee or worker of the </w:t>
            </w:r>
            <w:r>
              <w:t>c</w:t>
            </w:r>
            <w:r w:rsidRPr="00CD127A">
              <w:t xml:space="preserve">lient in relation to:  (1) the collective facilities and amenities (e.g. canteen, childcare facilities and transport services) provided by the </w:t>
            </w:r>
            <w:r>
              <w:t>c</w:t>
            </w:r>
            <w:r w:rsidRPr="00CD127A">
              <w:t xml:space="preserve">lient (unless the </w:t>
            </w:r>
            <w:r>
              <w:t>c</w:t>
            </w:r>
            <w:r w:rsidRPr="00CD127A">
              <w:t xml:space="preserve">lient can justify less favourable treatment on objective grounds) and (2) the right to be informed by the </w:t>
            </w:r>
            <w:r>
              <w:t>c</w:t>
            </w:r>
            <w:r w:rsidRPr="00CD127A">
              <w:t xml:space="preserve">lient of any relevant vacant posts with the </w:t>
            </w:r>
            <w:r>
              <w:t>c</w:t>
            </w:r>
            <w:r w:rsidRPr="00CD127A">
              <w:t xml:space="preserve">lient, to give the </w:t>
            </w:r>
            <w:r>
              <w:t>Agency Worker</w:t>
            </w:r>
            <w:r w:rsidRPr="00CD127A">
              <w:t xml:space="preserve"> the same opportunity as a comparable employee or worker of the </w:t>
            </w:r>
            <w:r>
              <w:t>c</w:t>
            </w:r>
            <w:r w:rsidRPr="00CD127A">
              <w:t xml:space="preserve">lient to find permanent employment with the </w:t>
            </w:r>
            <w:r>
              <w:t>c</w:t>
            </w:r>
            <w:r w:rsidRPr="00CD127A">
              <w:t xml:space="preserve">lient. This does not mean however that the </w:t>
            </w:r>
            <w:r>
              <w:t>Agency Worker</w:t>
            </w:r>
            <w:r w:rsidRPr="00CD127A">
              <w:t xml:space="preserve"> is entitled to be employed by the </w:t>
            </w:r>
            <w:r>
              <w:t>c</w:t>
            </w:r>
            <w:r w:rsidRPr="00CD127A">
              <w:t xml:space="preserve">lient. The </w:t>
            </w:r>
            <w:r>
              <w:t>c</w:t>
            </w:r>
            <w:r w:rsidRPr="00CD127A">
              <w:t xml:space="preserve">lient will be liable for any failure to comply with its Day One obligations. </w:t>
            </w:r>
            <w:r w:rsidRPr="00E947B1">
              <w:t xml:space="preserve">Please see </w:t>
            </w:r>
            <w:hyperlink r:id="rId34" w:history="1">
              <w:r w:rsidRPr="00B96D36">
                <w:rPr>
                  <w:rStyle w:val="Hyperlink"/>
                  <w:color w:val="36BEAE" w:themeColor="text2"/>
                </w:rPr>
                <w:t xml:space="preserve">REC </w:t>
              </w:r>
              <w:proofErr w:type="spellStart"/>
              <w:r w:rsidRPr="00B96D36">
                <w:rPr>
                  <w:rStyle w:val="Hyperlink"/>
                  <w:color w:val="36BEAE" w:themeColor="text2"/>
                </w:rPr>
                <w:t>AWR</w:t>
              </w:r>
              <w:proofErr w:type="spellEnd"/>
              <w:r w:rsidRPr="00B96D36">
                <w:rPr>
                  <w:rStyle w:val="Hyperlink"/>
                  <w:color w:val="36BEAE" w:themeColor="text2"/>
                </w:rPr>
                <w:t xml:space="preserve"> Factsheet</w:t>
              </w:r>
              <w:r w:rsidR="000B1664">
                <w:rPr>
                  <w:rStyle w:val="Hyperlink"/>
                  <w:color w:val="36BEAE" w:themeColor="text2"/>
                </w:rPr>
                <w:t>s</w:t>
              </w:r>
              <w:r w:rsidRPr="00B96D36">
                <w:rPr>
                  <w:rStyle w:val="Hyperlink"/>
                  <w:color w:val="36BEAE" w:themeColor="text2"/>
                </w:rPr>
                <w:t xml:space="preserve"> 4</w:t>
              </w:r>
            </w:hyperlink>
            <w:r w:rsidRPr="00B96D36">
              <w:rPr>
                <w:color w:val="36BEAE" w:themeColor="text2"/>
              </w:rPr>
              <w:t xml:space="preserve"> </w:t>
            </w:r>
            <w:r w:rsidRPr="00CD127A">
              <w:t xml:space="preserve">and </w:t>
            </w:r>
            <w:hyperlink r:id="rId35" w:history="1">
              <w:r w:rsidRPr="00B96D36">
                <w:rPr>
                  <w:rStyle w:val="Hyperlink"/>
                  <w:color w:val="36BEAE" w:themeColor="text2"/>
                  <w:sz w:val="22"/>
                </w:rPr>
                <w:t>5</w:t>
              </w:r>
            </w:hyperlink>
            <w:r w:rsidRPr="00CD127A">
              <w:t xml:space="preserve"> and the Guidance for more information.</w:t>
            </w:r>
          </w:p>
        </w:tc>
      </w:tr>
      <w:tr w:rsidR="00F02300" w14:paraId="02183572" w14:textId="77777777" w:rsidTr="001C3C6E">
        <w:tc>
          <w:tcPr>
            <w:tcW w:w="1250" w:type="dxa"/>
          </w:tcPr>
          <w:p w14:paraId="615FB2F1" w14:textId="77777777" w:rsidR="00F02300" w:rsidRPr="00661B5F" w:rsidRDefault="00F02300" w:rsidP="00F02300">
            <w:pPr>
              <w:pStyle w:val="BodyText"/>
              <w:numPr>
                <w:ilvl w:val="0"/>
                <w:numId w:val="22"/>
              </w:numPr>
            </w:pPr>
          </w:p>
        </w:tc>
        <w:tc>
          <w:tcPr>
            <w:tcW w:w="2588" w:type="dxa"/>
          </w:tcPr>
          <w:p w14:paraId="2F60AD01" w14:textId="71A866E1" w:rsidR="00F02300" w:rsidRPr="00CE2237" w:rsidRDefault="00F02300" w:rsidP="00F02300">
            <w:pPr>
              <w:pStyle w:val="BodyText"/>
            </w:pPr>
            <w:r w:rsidRPr="00CE2237">
              <w:t>3.</w:t>
            </w:r>
            <w:r w:rsidR="00B5714F">
              <w:t>10</w:t>
            </w:r>
            <w:r w:rsidR="00551759">
              <w:t>.1 and 3.10.2</w:t>
            </w:r>
            <w:r w:rsidRPr="00CE2237">
              <w:t xml:space="preserve"> (The Client’s Obligations </w:t>
            </w:r>
            <w:r w:rsidRPr="00CE2237">
              <w:rPr>
                <w:bCs/>
              </w:rPr>
              <w:t>–</w:t>
            </w:r>
            <w:r w:rsidRPr="00CE2237">
              <w:t xml:space="preserve"> </w:t>
            </w:r>
            <w:proofErr w:type="spellStart"/>
            <w:r w:rsidRPr="00CE2237">
              <w:t>AWR</w:t>
            </w:r>
            <w:proofErr w:type="spellEnd"/>
            <w:r w:rsidRPr="00CE2237">
              <w:t xml:space="preserve"> </w:t>
            </w:r>
            <w:r w:rsidRPr="00CE2237">
              <w:rPr>
                <w:bCs/>
              </w:rPr>
              <w:t>–</w:t>
            </w:r>
            <w:r w:rsidRPr="00CE2237">
              <w:t xml:space="preserve"> Information to be provided by </w:t>
            </w:r>
            <w:r w:rsidR="00986248">
              <w:t>Client</w:t>
            </w:r>
            <w:r w:rsidRPr="00CE2237">
              <w:t>)</w:t>
            </w:r>
          </w:p>
        </w:tc>
        <w:tc>
          <w:tcPr>
            <w:tcW w:w="5178" w:type="dxa"/>
          </w:tcPr>
          <w:p w14:paraId="23C8C588" w14:textId="35B59782" w:rsidR="00F02300" w:rsidRPr="00C95C35" w:rsidRDefault="00F02300" w:rsidP="00F02300">
            <w:pPr>
              <w:pStyle w:val="BodyText"/>
              <w:rPr>
                <w:b/>
                <w:bCs/>
              </w:rPr>
            </w:pPr>
            <w:r w:rsidRPr="00C95C35">
              <w:rPr>
                <w:b/>
                <w:bCs/>
              </w:rPr>
              <w:t xml:space="preserve">Where the </w:t>
            </w:r>
            <w:proofErr w:type="spellStart"/>
            <w:r w:rsidRPr="00C95C35">
              <w:rPr>
                <w:b/>
                <w:bCs/>
              </w:rPr>
              <w:t>AWR</w:t>
            </w:r>
            <w:proofErr w:type="spellEnd"/>
            <w:r w:rsidRPr="00C95C35">
              <w:rPr>
                <w:b/>
                <w:bCs/>
              </w:rPr>
              <w:t xml:space="preserve"> apply</w:t>
            </w:r>
            <w:r>
              <w:rPr>
                <w:b/>
                <w:bCs/>
              </w:rPr>
              <w:t>:</w:t>
            </w:r>
          </w:p>
          <w:p w14:paraId="63C8FDDF" w14:textId="77777777" w:rsidR="00F02300" w:rsidRPr="00C95C35" w:rsidRDefault="00F02300" w:rsidP="00F02300">
            <w:pPr>
              <w:pStyle w:val="BodyText"/>
              <w:rPr>
                <w:b/>
                <w:bCs/>
              </w:rPr>
            </w:pPr>
          </w:p>
          <w:p w14:paraId="684EBDDB" w14:textId="03D5DFE2" w:rsidR="00F02300" w:rsidRPr="00C95C35" w:rsidRDefault="00F02300" w:rsidP="00F02300">
            <w:pPr>
              <w:pStyle w:val="BodyText"/>
              <w:rPr>
                <w:b/>
                <w:bCs/>
              </w:rPr>
            </w:pPr>
            <w:r w:rsidRPr="00C95C35">
              <w:rPr>
                <w:b/>
                <w:bCs/>
              </w:rPr>
              <w:t>Qualifying Period:</w:t>
            </w:r>
          </w:p>
          <w:p w14:paraId="2FD67764" w14:textId="7662617F" w:rsidR="00F02300" w:rsidRPr="00C95C35" w:rsidRDefault="00F02300" w:rsidP="00F02300">
            <w:pPr>
              <w:pStyle w:val="BodyText"/>
              <w:rPr>
                <w:color w:val="0D133D" w:themeColor="text1"/>
              </w:rPr>
            </w:pPr>
            <w:r w:rsidRPr="00C95C35">
              <w:rPr>
                <w:color w:val="0D133D" w:themeColor="text1"/>
              </w:rPr>
              <w:t xml:space="preserve">An Agency Worker will be entitled to equal treatment in respect of pay and working conditions if they have completed the 12 week qualifying period by working in the same role with the same client for 12 Calendar Weeks (see the definition of “Calendar Week” in clause 1), during one or more assignments (Regulation 7 of the </w:t>
            </w:r>
            <w:proofErr w:type="spellStart"/>
            <w:r w:rsidRPr="00C95C35">
              <w:rPr>
                <w:color w:val="0D133D" w:themeColor="text1"/>
              </w:rPr>
              <w:t>AWR</w:t>
            </w:r>
            <w:proofErr w:type="spellEnd"/>
            <w:r w:rsidRPr="00C95C35">
              <w:rPr>
                <w:color w:val="0D133D" w:themeColor="text1"/>
              </w:rPr>
              <w:t>). Certain breaks will only suspend the 12-week qualifying clock whilst others (related to pregnancy, maternity, adoption and paternity leave) will not stop it at all. These are set out in Schedule 1 to this Agreement. Any weeks worked prior to 1 October 2011 (in England, Scotland or Wales) or 5 December 2011 (in Northern Ireland) do not count towards the 12-week qualifying period.</w:t>
            </w:r>
          </w:p>
          <w:p w14:paraId="51AF0255" w14:textId="77777777" w:rsidR="00F02300" w:rsidRPr="00C95C35" w:rsidRDefault="00F02300" w:rsidP="00F02300">
            <w:pPr>
              <w:pStyle w:val="BodyText"/>
            </w:pPr>
          </w:p>
          <w:p w14:paraId="41F949E6" w14:textId="77777777" w:rsidR="00F02300" w:rsidRPr="00C95C35" w:rsidRDefault="00F02300" w:rsidP="00F02300">
            <w:pPr>
              <w:pStyle w:val="BodyText"/>
              <w:rPr>
                <w:b/>
                <w:color w:val="FF0000"/>
              </w:rPr>
            </w:pPr>
            <w:r w:rsidRPr="00C95C35">
              <w:rPr>
                <w:b/>
              </w:rPr>
              <w:t>12 continuous calendar weeks:</w:t>
            </w:r>
          </w:p>
          <w:p w14:paraId="1394E04A" w14:textId="784EB205" w:rsidR="00F02300" w:rsidRPr="00C95C35" w:rsidRDefault="00F02300" w:rsidP="00F02300">
            <w:pPr>
              <w:pStyle w:val="BodyText"/>
              <w:rPr>
                <w:bCs/>
              </w:rPr>
            </w:pPr>
            <w:r w:rsidRPr="00C95C35">
              <w:rPr>
                <w:bCs/>
              </w:rPr>
              <w:lastRenderedPageBreak/>
              <w:t xml:space="preserve">The </w:t>
            </w:r>
            <w:proofErr w:type="spellStart"/>
            <w:r w:rsidRPr="00C95C35">
              <w:rPr>
                <w:bCs/>
              </w:rPr>
              <w:t>AWR</w:t>
            </w:r>
            <w:proofErr w:type="spellEnd"/>
            <w:r w:rsidRPr="00C95C35">
              <w:rPr>
                <w:bCs/>
              </w:rPr>
              <w:t xml:space="preserve"> provide that the Agency Worker achieves the qualifying period by working ‘in the same role </w:t>
            </w:r>
            <w:r w:rsidRPr="00C95C35">
              <w:rPr>
                <w:bCs/>
                <w:u w:val="single"/>
              </w:rPr>
              <w:t>for the same client for 12 continuous calendar weeks</w:t>
            </w:r>
            <w:r w:rsidRPr="00C95C35">
              <w:rPr>
                <w:bCs/>
              </w:rPr>
              <w:t xml:space="preserve"> during one or more assignments.’</w:t>
            </w:r>
          </w:p>
          <w:p w14:paraId="516D214B" w14:textId="77777777" w:rsidR="00F02300" w:rsidRPr="00C95C35" w:rsidRDefault="00F02300" w:rsidP="00F02300">
            <w:pPr>
              <w:pStyle w:val="BodyText"/>
              <w:rPr>
                <w:bCs/>
              </w:rPr>
            </w:pPr>
          </w:p>
          <w:p w14:paraId="62A30CBE" w14:textId="53677A1A" w:rsidR="00F02300" w:rsidRPr="00C95C35" w:rsidRDefault="00F02300" w:rsidP="00F02300">
            <w:pPr>
              <w:pStyle w:val="BodyText"/>
              <w:rPr>
                <w:bCs/>
              </w:rPr>
            </w:pPr>
            <w:r w:rsidRPr="00C95C35">
              <w:rPr>
                <w:bCs/>
              </w:rPr>
              <w:t xml:space="preserve">The </w:t>
            </w:r>
            <w:proofErr w:type="spellStart"/>
            <w:r w:rsidRPr="00C95C35">
              <w:rPr>
                <w:bCs/>
              </w:rPr>
              <w:t>AWR</w:t>
            </w:r>
            <w:proofErr w:type="spellEnd"/>
            <w:r w:rsidRPr="00C95C35">
              <w:rPr>
                <w:bCs/>
              </w:rPr>
              <w:t xml:space="preserve"> say that ‘any week during the whole or part of which an Agency Worker works is counted as a calendar week.’</w:t>
            </w:r>
          </w:p>
          <w:p w14:paraId="242CAE57" w14:textId="77777777" w:rsidR="00F02300" w:rsidRPr="00C95C35" w:rsidRDefault="00F02300" w:rsidP="00F02300">
            <w:pPr>
              <w:pStyle w:val="BodyText"/>
              <w:rPr>
                <w:bCs/>
              </w:rPr>
            </w:pPr>
          </w:p>
          <w:p w14:paraId="612906DC" w14:textId="54E62309" w:rsidR="00F02300" w:rsidRPr="00C95C35" w:rsidRDefault="00F02300" w:rsidP="00F02300">
            <w:pPr>
              <w:pStyle w:val="BodyText"/>
              <w:rPr>
                <w:bCs/>
              </w:rPr>
            </w:pPr>
            <w:r w:rsidRPr="00C95C35">
              <w:rPr>
                <w:bCs/>
              </w:rPr>
              <w:t xml:space="preserve">The </w:t>
            </w:r>
            <w:proofErr w:type="spellStart"/>
            <w:r w:rsidRPr="00C95C35">
              <w:rPr>
                <w:bCs/>
              </w:rPr>
              <w:t>AWR</w:t>
            </w:r>
            <w:proofErr w:type="spellEnd"/>
            <w:r w:rsidRPr="00C95C35">
              <w:rPr>
                <w:bCs/>
              </w:rPr>
              <w:t xml:space="preserve"> do not define ‘week’ nor do they specify that for example, a week commences on a Monday or Sunday etc. We have taken the view, based on the available guidance that the week is a seven-day period which begins with the start day of the Agency Worker’s assignment. </w:t>
            </w:r>
          </w:p>
          <w:p w14:paraId="7DF91C28" w14:textId="77777777" w:rsidR="00F02300" w:rsidRPr="00C95C35" w:rsidRDefault="00F02300" w:rsidP="00F02300">
            <w:pPr>
              <w:pStyle w:val="BodyText"/>
              <w:rPr>
                <w:bCs/>
              </w:rPr>
            </w:pPr>
          </w:p>
          <w:p w14:paraId="58BA1C7F" w14:textId="443C7524" w:rsidR="00F02300" w:rsidRPr="00D70003" w:rsidRDefault="00F02300" w:rsidP="00F02300">
            <w:pPr>
              <w:pStyle w:val="BodyText"/>
              <w:rPr>
                <w:b/>
                <w:color w:val="FF0000"/>
              </w:rPr>
            </w:pPr>
            <w:r w:rsidRPr="00C95C35">
              <w:rPr>
                <w:bCs/>
              </w:rPr>
              <w:t>However, it is clear that the qualifying period for the Agency Worker is tied to the time that the Agency Worker is supplied to the particular client rather than t</w:t>
            </w:r>
            <w:r w:rsidR="0074134B">
              <w:rPr>
                <w:bCs/>
              </w:rPr>
              <w:t>hrough</w:t>
            </w:r>
            <w:r w:rsidRPr="00C95C35">
              <w:rPr>
                <w:bCs/>
              </w:rPr>
              <w:t xml:space="preserve"> the particular employment business that the Agency Worker works through. </w:t>
            </w:r>
          </w:p>
          <w:p w14:paraId="76E4189D" w14:textId="77777777" w:rsidR="00F02300" w:rsidRPr="00D70003" w:rsidRDefault="00F02300" w:rsidP="00F02300">
            <w:pPr>
              <w:pStyle w:val="BodyText"/>
              <w:rPr>
                <w:b/>
                <w:color w:val="FF0000"/>
              </w:rPr>
            </w:pPr>
          </w:p>
          <w:p w14:paraId="27912F21" w14:textId="77777777" w:rsidR="00F02300" w:rsidRPr="00C95C35" w:rsidRDefault="00F02300" w:rsidP="00F02300">
            <w:pPr>
              <w:pStyle w:val="BodyText"/>
              <w:rPr>
                <w:b/>
                <w:bCs/>
              </w:rPr>
            </w:pPr>
            <w:r w:rsidRPr="00C95C35">
              <w:rPr>
                <w:b/>
                <w:bCs/>
              </w:rPr>
              <w:t>Same role:</w:t>
            </w:r>
          </w:p>
          <w:p w14:paraId="07C9D4A4" w14:textId="1EB5EB20" w:rsidR="00F02300" w:rsidRPr="00C95C35" w:rsidRDefault="00F02300" w:rsidP="00F02300">
            <w:pPr>
              <w:pStyle w:val="BodyText"/>
            </w:pPr>
            <w:r w:rsidRPr="00C95C35">
              <w:t xml:space="preserve">An Agency Worker works “in the same role” unless: (a) the Agency Worker has started a new role with the same client, whether supplied by the same or a different temporary work agency; (b) the work or duties that make up the whole or the main part of that new role are substantively different from the work or duties that made up the whole or the main part of the previous role; and (c) the temporary work agency has informed the Agency Worker in writing of the type of work the Agency Worker will be required to do in the new role (Regulation 7(3) of the </w:t>
            </w:r>
            <w:proofErr w:type="spellStart"/>
            <w:r w:rsidRPr="00C95C35">
              <w:t>AWR</w:t>
            </w:r>
            <w:proofErr w:type="spellEnd"/>
            <w:r w:rsidRPr="00C95C35">
              <w:t>).</w:t>
            </w:r>
          </w:p>
          <w:p w14:paraId="64EF4E46" w14:textId="77777777" w:rsidR="00F02300" w:rsidRPr="00C95C35" w:rsidRDefault="00F02300" w:rsidP="00F02300">
            <w:pPr>
              <w:pStyle w:val="BodyText"/>
            </w:pPr>
          </w:p>
          <w:p w14:paraId="4B9AC432" w14:textId="39A86A31" w:rsidR="00F02300" w:rsidRPr="00C95C35" w:rsidRDefault="00F02300" w:rsidP="00F02300">
            <w:pPr>
              <w:pStyle w:val="BodyText"/>
            </w:pPr>
            <w:r w:rsidRPr="00C95C35">
              <w:t xml:space="preserve">The Agency Worker </w:t>
            </w:r>
            <w:r w:rsidR="004A6C32" w:rsidRPr="00C95C35">
              <w:t>must</w:t>
            </w:r>
            <w:r w:rsidRPr="00C95C35">
              <w:t xml:space="preserve"> work in the same role for the same client for 12 weeks </w:t>
            </w:r>
            <w:r w:rsidR="004A6C32" w:rsidRPr="00C95C35">
              <w:t>to</w:t>
            </w:r>
            <w:r w:rsidRPr="00C95C35">
              <w:t xml:space="preserve"> complete the Qualifying Period, but this could be </w:t>
            </w:r>
            <w:r w:rsidR="00F75FBD">
              <w:t>through</w:t>
            </w:r>
            <w:r w:rsidRPr="00C95C35">
              <w:t xml:space="preserve"> one or more temporary work agencies. The employment business therefore needs to </w:t>
            </w:r>
            <w:r w:rsidR="00F75FBD">
              <w:t xml:space="preserve">know </w:t>
            </w:r>
            <w:r w:rsidRPr="00C95C35">
              <w:t xml:space="preserve">whether the relevant Agency Worker has worked in the same role with the client via any third party so that the employment business can assess whether the Agency Worker has already acquired qualifying weeks or has already completed the 12-week qualifying period. </w:t>
            </w:r>
          </w:p>
          <w:p w14:paraId="0B659A2B" w14:textId="77777777" w:rsidR="00F02300" w:rsidRPr="00C95C35" w:rsidRDefault="00F02300" w:rsidP="00F02300">
            <w:pPr>
              <w:pStyle w:val="BodyText"/>
            </w:pPr>
          </w:p>
          <w:p w14:paraId="53D81B97" w14:textId="56AADEE7" w:rsidR="00F02300" w:rsidRPr="00C95C35" w:rsidRDefault="00F02300" w:rsidP="00F02300">
            <w:pPr>
              <w:pStyle w:val="BodyText"/>
            </w:pPr>
            <w:r w:rsidRPr="00C95C35">
              <w:t xml:space="preserve">Subject to breaks taken the earliest date an Agency Worker could qualify for equal treatment was 24 December 2011 in England, Scotland and Wales or 27 February 2012 in Northern Ireland. </w:t>
            </w:r>
          </w:p>
          <w:p w14:paraId="24A763FF" w14:textId="77777777" w:rsidR="00F02300" w:rsidRPr="00C95C35" w:rsidRDefault="00F02300" w:rsidP="00F02300">
            <w:pPr>
              <w:pStyle w:val="BodyText"/>
            </w:pPr>
          </w:p>
          <w:p w14:paraId="44B3F5F1" w14:textId="33D73BE0" w:rsidR="00F02300" w:rsidRPr="00C95C35" w:rsidRDefault="00F02300" w:rsidP="00F02300">
            <w:pPr>
              <w:pStyle w:val="BodyText"/>
            </w:pPr>
            <w:r w:rsidRPr="00C95C35">
              <w:t xml:space="preserve">Please see </w:t>
            </w:r>
            <w:hyperlink r:id="rId36" w:history="1">
              <w:r w:rsidRPr="00B96D36">
                <w:rPr>
                  <w:rStyle w:val="Hyperlink"/>
                  <w:color w:val="36BEAE" w:themeColor="text2"/>
                </w:rPr>
                <w:t xml:space="preserve">REC </w:t>
              </w:r>
              <w:proofErr w:type="spellStart"/>
              <w:r w:rsidRPr="00B96D36">
                <w:rPr>
                  <w:rStyle w:val="Hyperlink"/>
                  <w:color w:val="36BEAE" w:themeColor="text2"/>
                </w:rPr>
                <w:t>AWR</w:t>
              </w:r>
              <w:proofErr w:type="spellEnd"/>
              <w:r w:rsidRPr="00B96D36">
                <w:rPr>
                  <w:rStyle w:val="Hyperlink"/>
                  <w:color w:val="36BEAE" w:themeColor="text2"/>
                </w:rPr>
                <w:t xml:space="preserve"> Factsheet 3</w:t>
              </w:r>
            </w:hyperlink>
            <w:r w:rsidRPr="00C95C35">
              <w:t xml:space="preserve"> for more information.</w:t>
            </w:r>
          </w:p>
          <w:p w14:paraId="46EF0341" w14:textId="77777777" w:rsidR="00F02300" w:rsidRPr="00C95C35" w:rsidRDefault="00F02300" w:rsidP="00F02300">
            <w:pPr>
              <w:pStyle w:val="BodyText"/>
            </w:pPr>
          </w:p>
          <w:p w14:paraId="5A5CB33F" w14:textId="77777777" w:rsidR="00F02300" w:rsidRPr="00C95C35" w:rsidRDefault="00F02300" w:rsidP="00F02300">
            <w:pPr>
              <w:pStyle w:val="BodyText"/>
            </w:pPr>
            <w:r w:rsidRPr="00C95C35">
              <w:rPr>
                <w:u w:val="single"/>
              </w:rPr>
              <w:t>Anti-avoidance measures</w:t>
            </w:r>
            <w:r w:rsidRPr="00C95C35">
              <w:t>:</w:t>
            </w:r>
          </w:p>
          <w:p w14:paraId="31556189" w14:textId="293C4209" w:rsidR="00F02300" w:rsidRPr="00C95C35" w:rsidRDefault="00F02300" w:rsidP="00F02300">
            <w:pPr>
              <w:pStyle w:val="BodyText"/>
            </w:pPr>
            <w:r w:rsidRPr="00C95C35">
              <w:t xml:space="preserve">The </w:t>
            </w:r>
            <w:proofErr w:type="spellStart"/>
            <w:r w:rsidRPr="00C95C35">
              <w:t>AWR</w:t>
            </w:r>
            <w:proofErr w:type="spellEnd"/>
            <w:r w:rsidRPr="00C95C35">
              <w:t xml:space="preserve"> contain anti-avoidance measures (Regulation 9) to prevent temporary work agencies or their clients (i.e. the Client) structuring assignments in</w:t>
            </w:r>
            <w:r w:rsidR="00F75FBD">
              <w:t xml:space="preserve"> </w:t>
            </w:r>
            <w:r w:rsidRPr="00C95C35">
              <w:t xml:space="preserve"> such a way to prevent an Agency Worker from acquiring the 12-week qualifying period for equal pay and working conditions. The Employment Business </w:t>
            </w:r>
            <w:r w:rsidR="004A6C32">
              <w:t>must</w:t>
            </w:r>
            <w:r w:rsidR="00F75FBD">
              <w:t xml:space="preserve"> </w:t>
            </w:r>
            <w:r>
              <w:t>ha</w:t>
            </w:r>
            <w:r w:rsidRPr="00C95C35">
              <w:t>ve the information set out in clause</w:t>
            </w:r>
            <w:r>
              <w:t>s</w:t>
            </w:r>
            <w:r w:rsidRPr="00C95C35">
              <w:t xml:space="preserve"> 3.</w:t>
            </w:r>
            <w:r w:rsidR="00F91FA6">
              <w:t>10</w:t>
            </w:r>
            <w:r w:rsidRPr="00C95C35">
              <w:t>.</w:t>
            </w:r>
            <w:r w:rsidR="00F91FA6">
              <w:t>1</w:t>
            </w:r>
            <w:r w:rsidRPr="00C95C35">
              <w:t xml:space="preserve"> </w:t>
            </w:r>
            <w:r w:rsidR="00F91FA6">
              <w:t>to</w:t>
            </w:r>
            <w:r w:rsidRPr="00C95C35">
              <w:t xml:space="preserve"> 3.</w:t>
            </w:r>
            <w:r w:rsidR="00F91FA6">
              <w:t>10</w:t>
            </w:r>
            <w:r w:rsidRPr="00C95C35">
              <w:t xml:space="preserve">.3 so that it can assess whether previous assignments with the client have been structured in such a way as to </w:t>
            </w:r>
            <w:r w:rsidR="00F75FBD">
              <w:t>try</w:t>
            </w:r>
            <w:r w:rsidRPr="00C95C35">
              <w:t xml:space="preserve"> to avoid the application of the </w:t>
            </w:r>
            <w:proofErr w:type="spellStart"/>
            <w:r w:rsidRPr="00C95C35">
              <w:t>AWR</w:t>
            </w:r>
            <w:proofErr w:type="spellEnd"/>
            <w:r w:rsidRPr="00C95C35">
              <w:t xml:space="preserve"> and so the Agency Worker will be deemed to have completed the Qualifying Period. </w:t>
            </w:r>
          </w:p>
          <w:p w14:paraId="338BA2F5" w14:textId="77777777" w:rsidR="00F02300" w:rsidRPr="00C95C35" w:rsidRDefault="00F02300" w:rsidP="00F02300">
            <w:pPr>
              <w:pStyle w:val="BodyText"/>
            </w:pPr>
          </w:p>
          <w:p w14:paraId="2AD9D6F5" w14:textId="30DEC8C8" w:rsidR="00F02300" w:rsidRPr="00C95C35" w:rsidRDefault="00F02300" w:rsidP="00F02300">
            <w:pPr>
              <w:pStyle w:val="BodyText"/>
            </w:pPr>
            <w:r w:rsidRPr="00C95C35">
              <w:t xml:space="preserve">Please see </w:t>
            </w:r>
            <w:hyperlink r:id="rId37" w:history="1">
              <w:r w:rsidRPr="00B96D36">
                <w:rPr>
                  <w:rStyle w:val="Hyperlink"/>
                  <w:color w:val="36BEAE" w:themeColor="text2"/>
                </w:rPr>
                <w:t xml:space="preserve">REC </w:t>
              </w:r>
              <w:proofErr w:type="spellStart"/>
              <w:r w:rsidRPr="00B96D36">
                <w:rPr>
                  <w:rStyle w:val="Hyperlink"/>
                  <w:color w:val="36BEAE" w:themeColor="text2"/>
                </w:rPr>
                <w:t>AWR</w:t>
              </w:r>
              <w:proofErr w:type="spellEnd"/>
              <w:r w:rsidRPr="00B96D36">
                <w:rPr>
                  <w:rStyle w:val="Hyperlink"/>
                  <w:color w:val="36BEAE" w:themeColor="text2"/>
                </w:rPr>
                <w:t xml:space="preserve"> Factsheet 5</w:t>
              </w:r>
            </w:hyperlink>
            <w:r w:rsidRPr="00C95C35">
              <w:t xml:space="preserve"> for more information on the anti-avoidance measures. </w:t>
            </w:r>
          </w:p>
        </w:tc>
      </w:tr>
      <w:tr w:rsidR="00F02300" w14:paraId="2150BE0C" w14:textId="77777777" w:rsidTr="001C3C6E">
        <w:tc>
          <w:tcPr>
            <w:tcW w:w="1250" w:type="dxa"/>
          </w:tcPr>
          <w:p w14:paraId="615DBB31" w14:textId="77777777" w:rsidR="00F02300" w:rsidRPr="00661B5F" w:rsidRDefault="00F02300" w:rsidP="00F02300">
            <w:pPr>
              <w:pStyle w:val="BodyText"/>
              <w:numPr>
                <w:ilvl w:val="0"/>
                <w:numId w:val="22"/>
              </w:numPr>
            </w:pPr>
          </w:p>
        </w:tc>
        <w:tc>
          <w:tcPr>
            <w:tcW w:w="2588" w:type="dxa"/>
          </w:tcPr>
          <w:p w14:paraId="63E33FE2" w14:textId="12781BB8" w:rsidR="00F02300" w:rsidRPr="00FE1620" w:rsidRDefault="00F02300" w:rsidP="00F02300">
            <w:pPr>
              <w:pStyle w:val="BodyText"/>
            </w:pPr>
            <w:r w:rsidRPr="00FE1620">
              <w:t>3.</w:t>
            </w:r>
            <w:r w:rsidR="00B5714F">
              <w:t>10</w:t>
            </w:r>
            <w:r w:rsidR="00551759">
              <w:t>.4</w:t>
            </w:r>
            <w:r>
              <w:t xml:space="preserve"> </w:t>
            </w:r>
            <w:r w:rsidRPr="00FE1620">
              <w:t xml:space="preserve">(The Client’s obligations – </w:t>
            </w:r>
            <w:proofErr w:type="spellStart"/>
            <w:r w:rsidRPr="00FE1620">
              <w:t>AWR</w:t>
            </w:r>
            <w:proofErr w:type="spellEnd"/>
            <w:r w:rsidRPr="00FE1620">
              <w:t xml:space="preserve"> – Information to be provided by </w:t>
            </w:r>
            <w:r w:rsidR="00986248">
              <w:t>Client</w:t>
            </w:r>
            <w:r w:rsidRPr="00FE1620">
              <w:t>)</w:t>
            </w:r>
          </w:p>
        </w:tc>
        <w:tc>
          <w:tcPr>
            <w:tcW w:w="5178" w:type="dxa"/>
          </w:tcPr>
          <w:p w14:paraId="033D829D" w14:textId="6179B984" w:rsidR="00F02300" w:rsidRPr="00CD127A" w:rsidRDefault="00F02300" w:rsidP="00F02300">
            <w:pPr>
              <w:pStyle w:val="BodyText"/>
            </w:pPr>
            <w:r w:rsidRPr="00CD127A">
              <w:t xml:space="preserve">Under the </w:t>
            </w:r>
            <w:proofErr w:type="spellStart"/>
            <w:r w:rsidRPr="00CD127A">
              <w:t>AWR</w:t>
            </w:r>
            <w:proofErr w:type="spellEnd"/>
            <w:r w:rsidRPr="00CD127A">
              <w:t xml:space="preserve">, on completion of the 12-week qualifying period, an </w:t>
            </w:r>
            <w:r>
              <w:t>Agency Worker</w:t>
            </w:r>
            <w:r w:rsidRPr="00CD127A">
              <w:t xml:space="preserve"> is entitled to equal treatment in respect of pay and working conditions i.e. the Relevant Terms and Conditions. In most cases, equal treatment can be established by giving the </w:t>
            </w:r>
            <w:r>
              <w:t>Agency Worker</w:t>
            </w:r>
            <w:r w:rsidRPr="00CD127A">
              <w:t xml:space="preserve"> the same Relevant Terms and Conditions as if </w:t>
            </w:r>
            <w:r>
              <w:t>they</w:t>
            </w:r>
            <w:r w:rsidRPr="00CD127A">
              <w:t xml:space="preserve"> had been recruited directly by the </w:t>
            </w:r>
            <w:r>
              <w:t>c</w:t>
            </w:r>
            <w:r w:rsidRPr="00CD127A">
              <w:t xml:space="preserve">lient as an employee or worker to the same job. However, the </w:t>
            </w:r>
            <w:r>
              <w:t>c</w:t>
            </w:r>
            <w:r w:rsidRPr="00CD127A">
              <w:t xml:space="preserve">lient will be deemed to have complied with the </w:t>
            </w:r>
            <w:proofErr w:type="spellStart"/>
            <w:r w:rsidRPr="00CD127A">
              <w:t>AWR</w:t>
            </w:r>
            <w:proofErr w:type="spellEnd"/>
            <w:r w:rsidRPr="00CD127A">
              <w:t xml:space="preserve"> in this respect if the </w:t>
            </w:r>
            <w:r>
              <w:t>c</w:t>
            </w:r>
            <w:r w:rsidRPr="00CD127A">
              <w:t xml:space="preserve">lient identifies an appropriate comparator, who must be an employee, and treats the </w:t>
            </w:r>
            <w:r>
              <w:t>Agency Worker</w:t>
            </w:r>
            <w:r w:rsidRPr="00CD127A">
              <w:t xml:space="preserve"> in the same way (see the definition of “Comparable Employee” in Schedule 1). </w:t>
            </w:r>
          </w:p>
          <w:p w14:paraId="69C86E71" w14:textId="77777777" w:rsidR="00F02300" w:rsidRPr="00CD127A" w:rsidRDefault="00F02300" w:rsidP="00F02300">
            <w:pPr>
              <w:pStyle w:val="BodyText"/>
            </w:pPr>
          </w:p>
          <w:p w14:paraId="4941C1BD" w14:textId="6190584C" w:rsidR="00F02300" w:rsidRPr="00CD127A" w:rsidRDefault="00F02300" w:rsidP="00F02300">
            <w:pPr>
              <w:pStyle w:val="BodyText"/>
            </w:pPr>
            <w:r w:rsidRPr="00CD127A">
              <w:t xml:space="preserve">Please </w:t>
            </w:r>
            <w:r w:rsidRPr="00C95C35">
              <w:t xml:space="preserve">see </w:t>
            </w:r>
            <w:hyperlink r:id="rId38" w:history="1">
              <w:r w:rsidRPr="00B96D36">
                <w:rPr>
                  <w:rStyle w:val="Hyperlink"/>
                  <w:color w:val="36BEAE" w:themeColor="text2"/>
                </w:rPr>
                <w:t xml:space="preserve">REC </w:t>
              </w:r>
              <w:proofErr w:type="spellStart"/>
              <w:r w:rsidRPr="00B96D36">
                <w:rPr>
                  <w:rStyle w:val="Hyperlink"/>
                  <w:color w:val="36BEAE" w:themeColor="text2"/>
                </w:rPr>
                <w:t>AWR</w:t>
              </w:r>
              <w:proofErr w:type="spellEnd"/>
              <w:r w:rsidRPr="00B96D36">
                <w:rPr>
                  <w:rStyle w:val="Hyperlink"/>
                  <w:color w:val="36BEAE" w:themeColor="text2"/>
                </w:rPr>
                <w:t xml:space="preserve"> Factsheet 4</w:t>
              </w:r>
            </w:hyperlink>
            <w:r w:rsidRPr="00CD127A">
              <w:t xml:space="preserve"> for more information.</w:t>
            </w:r>
          </w:p>
          <w:p w14:paraId="7AB25496" w14:textId="77777777" w:rsidR="00F02300" w:rsidRPr="00CD127A" w:rsidRDefault="00F02300" w:rsidP="00F02300">
            <w:pPr>
              <w:pStyle w:val="BodyText"/>
            </w:pPr>
          </w:p>
          <w:p w14:paraId="2016AF53" w14:textId="3953974A" w:rsidR="00F02300" w:rsidRPr="00C12072" w:rsidRDefault="00F02300" w:rsidP="00F02300">
            <w:pPr>
              <w:pStyle w:val="BodyText"/>
            </w:pPr>
            <w:r w:rsidRPr="00CD127A">
              <w:t xml:space="preserve">Please also see </w:t>
            </w:r>
            <w:r>
              <w:t xml:space="preserve">the </w:t>
            </w:r>
            <w:hyperlink r:id="rId39" w:history="1">
              <w:r w:rsidR="00F73649" w:rsidRPr="00C3668F">
                <w:rPr>
                  <w:rStyle w:val="Hyperlink"/>
                  <w:color w:val="36BEAE" w:themeColor="text2"/>
                </w:rPr>
                <w:t>Information Request Form</w:t>
              </w:r>
            </w:hyperlink>
            <w:r w:rsidRPr="00CD127A">
              <w:t xml:space="preserve"> which you can use to </w:t>
            </w:r>
            <w:r>
              <w:t>get</w:t>
            </w:r>
            <w:r w:rsidRPr="00CD127A">
              <w:t xml:space="preserve"> the necessary information from the Client.</w:t>
            </w:r>
            <w:r>
              <w:t xml:space="preserve"> </w:t>
            </w:r>
          </w:p>
        </w:tc>
      </w:tr>
      <w:tr w:rsidR="00F02300" w14:paraId="1E7AB701" w14:textId="77777777" w:rsidTr="001C3C6E">
        <w:tc>
          <w:tcPr>
            <w:tcW w:w="1250" w:type="dxa"/>
          </w:tcPr>
          <w:p w14:paraId="198778AC" w14:textId="77777777" w:rsidR="00F02300" w:rsidRPr="00661B5F" w:rsidRDefault="00F02300" w:rsidP="00F02300">
            <w:pPr>
              <w:pStyle w:val="BodyText"/>
              <w:numPr>
                <w:ilvl w:val="0"/>
                <w:numId w:val="22"/>
              </w:numPr>
            </w:pPr>
          </w:p>
        </w:tc>
        <w:tc>
          <w:tcPr>
            <w:tcW w:w="2588" w:type="dxa"/>
          </w:tcPr>
          <w:p w14:paraId="7D2D23CA" w14:textId="301EE7DB" w:rsidR="00F02300" w:rsidRPr="00FE1620" w:rsidRDefault="00F02300" w:rsidP="00F02300">
            <w:pPr>
              <w:pStyle w:val="BodyText"/>
            </w:pPr>
            <w:r w:rsidRPr="00FE1620">
              <w:t>3.</w:t>
            </w:r>
            <w:r w:rsidR="00B5714F">
              <w:t>11</w:t>
            </w:r>
            <w:r>
              <w:t xml:space="preserve"> </w:t>
            </w:r>
            <w:r w:rsidRPr="00FE1620">
              <w:t xml:space="preserve">(The Client’s obligations – </w:t>
            </w:r>
            <w:proofErr w:type="spellStart"/>
            <w:r w:rsidRPr="00FE1620">
              <w:t>AWR</w:t>
            </w:r>
            <w:proofErr w:type="spellEnd"/>
            <w:r w:rsidRPr="00FE1620">
              <w:t xml:space="preserve"> - Bonuses and performance appraisal systems)</w:t>
            </w:r>
          </w:p>
        </w:tc>
        <w:tc>
          <w:tcPr>
            <w:tcW w:w="5178" w:type="dxa"/>
          </w:tcPr>
          <w:p w14:paraId="28FE2698" w14:textId="7206E1CA" w:rsidR="00F02300" w:rsidRPr="00FE1620" w:rsidRDefault="00F02300" w:rsidP="00F02300">
            <w:pPr>
              <w:pStyle w:val="BodyText"/>
              <w:rPr>
                <w:color w:val="002060"/>
              </w:rPr>
            </w:pPr>
            <w:r w:rsidRPr="00FE1620">
              <w:rPr>
                <w:color w:val="002060"/>
              </w:rPr>
              <w:t xml:space="preserve">An </w:t>
            </w:r>
            <w:r>
              <w:rPr>
                <w:color w:val="002060"/>
              </w:rPr>
              <w:t>Agency Worker</w:t>
            </w:r>
            <w:r w:rsidRPr="00FE1620">
              <w:rPr>
                <w:color w:val="002060"/>
              </w:rPr>
              <w:t xml:space="preserve"> may be entitled to a bonus under the </w:t>
            </w:r>
            <w:proofErr w:type="spellStart"/>
            <w:r w:rsidRPr="00FE1620">
              <w:rPr>
                <w:color w:val="002060"/>
              </w:rPr>
              <w:t>AWR</w:t>
            </w:r>
            <w:proofErr w:type="spellEnd"/>
            <w:r w:rsidRPr="00FE1620">
              <w:rPr>
                <w:color w:val="002060"/>
              </w:rPr>
              <w:t xml:space="preserve">. The </w:t>
            </w:r>
            <w:proofErr w:type="spellStart"/>
            <w:r w:rsidRPr="00FE1620">
              <w:rPr>
                <w:color w:val="002060"/>
              </w:rPr>
              <w:t>AWR</w:t>
            </w:r>
            <w:proofErr w:type="spellEnd"/>
            <w:r w:rsidRPr="00FE1620">
              <w:rPr>
                <w:color w:val="002060"/>
              </w:rPr>
              <w:t xml:space="preserve"> do not require clients to assess </w:t>
            </w:r>
            <w:r>
              <w:rPr>
                <w:color w:val="002060"/>
              </w:rPr>
              <w:t>Agency Worker</w:t>
            </w:r>
            <w:r w:rsidRPr="00FE1620">
              <w:rPr>
                <w:color w:val="002060"/>
              </w:rPr>
              <w:t>s for the purpose of awarding a bonus t</w:t>
            </w:r>
            <w:r w:rsidR="002908E4">
              <w:rPr>
                <w:color w:val="002060"/>
              </w:rPr>
              <w:t xml:space="preserve">hat </w:t>
            </w:r>
            <w:r w:rsidRPr="00FE1620">
              <w:rPr>
                <w:color w:val="002060"/>
              </w:rPr>
              <w:t xml:space="preserve"> the </w:t>
            </w:r>
            <w:r>
              <w:rPr>
                <w:color w:val="002060"/>
              </w:rPr>
              <w:t>Agency Worker</w:t>
            </w:r>
            <w:r w:rsidRPr="00FE1620">
              <w:rPr>
                <w:color w:val="002060"/>
              </w:rPr>
              <w:t xml:space="preserve"> may be entitled or to integrate </w:t>
            </w:r>
            <w:r>
              <w:rPr>
                <w:color w:val="002060"/>
              </w:rPr>
              <w:t>Agency Worker</w:t>
            </w:r>
            <w:r w:rsidRPr="00FE1620">
              <w:rPr>
                <w:color w:val="002060"/>
              </w:rPr>
              <w:t xml:space="preserve">s into their performance appraisal systems. However, we recommend that clients conduct an appraisal because they are in a better position than the employment business to do this, hence the inclusion of this clause. If the client </w:t>
            </w:r>
            <w:r w:rsidR="00F75FBD">
              <w:rPr>
                <w:color w:val="002060"/>
              </w:rPr>
              <w:t>incudes</w:t>
            </w:r>
            <w:r w:rsidRPr="00FE1620">
              <w:rPr>
                <w:color w:val="002060"/>
              </w:rPr>
              <w:t xml:space="preserve"> the </w:t>
            </w:r>
            <w:r>
              <w:rPr>
                <w:color w:val="002060"/>
              </w:rPr>
              <w:t>Agency Worker</w:t>
            </w:r>
            <w:r w:rsidRPr="00FE1620">
              <w:rPr>
                <w:color w:val="002060"/>
              </w:rPr>
              <w:t xml:space="preserve"> in its performance appraisal system, this should not of itself affect the </w:t>
            </w:r>
            <w:r>
              <w:rPr>
                <w:color w:val="002060"/>
              </w:rPr>
              <w:t>Agency Worker</w:t>
            </w:r>
            <w:r w:rsidRPr="00FE1620">
              <w:rPr>
                <w:color w:val="002060"/>
              </w:rPr>
              <w:t xml:space="preserve">’s employment status. For more information on bonuses and the integration of </w:t>
            </w:r>
            <w:r>
              <w:rPr>
                <w:color w:val="002060"/>
              </w:rPr>
              <w:t>Agency Worker</w:t>
            </w:r>
            <w:r w:rsidRPr="00FE1620">
              <w:rPr>
                <w:color w:val="002060"/>
              </w:rPr>
              <w:t>s into clients’ appraisal systems, please see the Guidance.</w:t>
            </w:r>
          </w:p>
          <w:p w14:paraId="391B4F11" w14:textId="77777777" w:rsidR="00F02300" w:rsidRPr="00FE1620" w:rsidRDefault="00F02300" w:rsidP="00F02300">
            <w:pPr>
              <w:pStyle w:val="BodyText"/>
              <w:rPr>
                <w:color w:val="002060"/>
              </w:rPr>
            </w:pPr>
          </w:p>
          <w:p w14:paraId="47C2FD42" w14:textId="1742D4BF" w:rsidR="00F02300" w:rsidRPr="00FE1620" w:rsidRDefault="00F75FBD" w:rsidP="00F02300">
            <w:pPr>
              <w:pStyle w:val="BodyText"/>
              <w:rPr>
                <w:color w:val="002060"/>
              </w:rPr>
            </w:pPr>
            <w:r w:rsidRPr="00FE1620">
              <w:rPr>
                <w:color w:val="002060"/>
              </w:rPr>
              <w:lastRenderedPageBreak/>
              <w:t>Please also see</w:t>
            </w:r>
            <w:r>
              <w:rPr>
                <w:color w:val="002060"/>
              </w:rPr>
              <w:t xml:space="preserve"> the REC template</w:t>
            </w:r>
            <w:r w:rsidRPr="00FE1620">
              <w:rPr>
                <w:color w:val="002060"/>
              </w:rPr>
              <w:t xml:space="preserve"> </w:t>
            </w:r>
            <w:hyperlink r:id="rId40" w:history="1">
              <w:r w:rsidRPr="003470D3">
                <w:rPr>
                  <w:rStyle w:val="Hyperlink"/>
                  <w:color w:val="36BEAE"/>
                </w:rPr>
                <w:t>Information Request Form</w:t>
              </w:r>
            </w:hyperlink>
            <w:r w:rsidRPr="00FE1620">
              <w:rPr>
                <w:color w:val="002060"/>
              </w:rPr>
              <w:t xml:space="preserve"> which you can use to obtain the necessary information from the client.</w:t>
            </w:r>
          </w:p>
        </w:tc>
      </w:tr>
      <w:tr w:rsidR="00F02300" w14:paraId="6A3442F0" w14:textId="77777777" w:rsidTr="001C3C6E">
        <w:tc>
          <w:tcPr>
            <w:tcW w:w="1250" w:type="dxa"/>
          </w:tcPr>
          <w:p w14:paraId="4DEA4E07" w14:textId="77777777" w:rsidR="00F02300" w:rsidRPr="00661B5F" w:rsidRDefault="00F02300" w:rsidP="00F02300">
            <w:pPr>
              <w:pStyle w:val="BodyText"/>
              <w:numPr>
                <w:ilvl w:val="0"/>
                <w:numId w:val="22"/>
              </w:numPr>
            </w:pPr>
          </w:p>
        </w:tc>
        <w:tc>
          <w:tcPr>
            <w:tcW w:w="2588" w:type="dxa"/>
          </w:tcPr>
          <w:p w14:paraId="30C05449" w14:textId="74B8D190" w:rsidR="00F02300" w:rsidRPr="00FE1620" w:rsidRDefault="00F02300" w:rsidP="00F02300">
            <w:pPr>
              <w:pStyle w:val="BodyText"/>
            </w:pPr>
            <w:r w:rsidRPr="00FE1620">
              <w:rPr>
                <w:bCs/>
              </w:rPr>
              <w:t>3.</w:t>
            </w:r>
            <w:r w:rsidR="00B5714F">
              <w:rPr>
                <w:bCs/>
              </w:rPr>
              <w:t>12</w:t>
            </w:r>
            <w:r w:rsidRPr="00FE1620">
              <w:rPr>
                <w:bCs/>
              </w:rPr>
              <w:t>.2</w:t>
            </w:r>
            <w:r>
              <w:rPr>
                <w:bCs/>
              </w:rPr>
              <w:t xml:space="preserve"> </w:t>
            </w:r>
            <w:r w:rsidRPr="00FE1620">
              <w:rPr>
                <w:bCs/>
              </w:rPr>
              <w:t xml:space="preserve">(The Client Obligations – </w:t>
            </w:r>
            <w:proofErr w:type="spellStart"/>
            <w:r w:rsidRPr="00FE1620">
              <w:rPr>
                <w:bCs/>
              </w:rPr>
              <w:t>AWR</w:t>
            </w:r>
            <w:proofErr w:type="spellEnd"/>
            <w:r w:rsidRPr="00FE1620">
              <w:rPr>
                <w:bCs/>
              </w:rPr>
              <w:t xml:space="preserve"> – written requests for information)</w:t>
            </w:r>
          </w:p>
        </w:tc>
        <w:tc>
          <w:tcPr>
            <w:tcW w:w="5178" w:type="dxa"/>
          </w:tcPr>
          <w:p w14:paraId="5D6E4404" w14:textId="5EF6D212" w:rsidR="00F02300" w:rsidRPr="00C12072" w:rsidRDefault="00F02300" w:rsidP="00F02300">
            <w:pPr>
              <w:pStyle w:val="BodyText"/>
            </w:pPr>
            <w:r w:rsidRPr="00CD127A">
              <w:t xml:space="preserve">If the </w:t>
            </w:r>
            <w:r>
              <w:t>Agency Worker</w:t>
            </w:r>
            <w:r w:rsidRPr="00CD127A">
              <w:t xml:space="preserve"> considers that </w:t>
            </w:r>
            <w:r>
              <w:t xml:space="preserve">they </w:t>
            </w:r>
            <w:r w:rsidRPr="00CD127A">
              <w:t>h</w:t>
            </w:r>
            <w:r>
              <w:t>ave</w:t>
            </w:r>
            <w:r w:rsidRPr="00CD127A">
              <w:t xml:space="preserve"> not received equal treatment </w:t>
            </w:r>
            <w:r>
              <w:t>they</w:t>
            </w:r>
            <w:r w:rsidRPr="00CD127A">
              <w:t xml:space="preserve"> can make a written request to </w:t>
            </w:r>
            <w:r>
              <w:t xml:space="preserve">you </w:t>
            </w:r>
            <w:r w:rsidRPr="00CD127A">
              <w:t xml:space="preserve">for a written statement containing information relating to that treatment. If the </w:t>
            </w:r>
            <w:r>
              <w:t>Agency Worker</w:t>
            </w:r>
            <w:r w:rsidRPr="00CD127A">
              <w:t xml:space="preserve"> does not receive the written statement from </w:t>
            </w:r>
            <w:r>
              <w:t xml:space="preserve">you </w:t>
            </w:r>
            <w:r w:rsidRPr="00CD127A">
              <w:t xml:space="preserve">within 30 days of making the request, the </w:t>
            </w:r>
            <w:r>
              <w:t>Agency Worker</w:t>
            </w:r>
            <w:r w:rsidRPr="00CD127A">
              <w:t xml:space="preserve"> can make the same request to the </w:t>
            </w:r>
            <w:r>
              <w:t>c</w:t>
            </w:r>
            <w:r w:rsidRPr="00CD127A">
              <w:t xml:space="preserve">lient. For more information, please see </w:t>
            </w:r>
            <w:hyperlink r:id="rId41" w:history="1">
              <w:r w:rsidRPr="00B04FF8">
                <w:rPr>
                  <w:rStyle w:val="Hyperlink"/>
                  <w:color w:val="36BEAE" w:themeColor="text2"/>
                </w:rPr>
                <w:t xml:space="preserve">REC </w:t>
              </w:r>
              <w:proofErr w:type="spellStart"/>
              <w:r w:rsidRPr="00B04FF8">
                <w:rPr>
                  <w:rStyle w:val="Hyperlink"/>
                  <w:color w:val="36BEAE" w:themeColor="text2"/>
                </w:rPr>
                <w:t>AWR</w:t>
              </w:r>
              <w:proofErr w:type="spellEnd"/>
              <w:r w:rsidRPr="00B04FF8">
                <w:rPr>
                  <w:rStyle w:val="Hyperlink"/>
                  <w:color w:val="36BEAE" w:themeColor="text2"/>
                </w:rPr>
                <w:t xml:space="preserve"> Factsheet 5</w:t>
              </w:r>
            </w:hyperlink>
            <w:r w:rsidRPr="00CD127A">
              <w:t>.</w:t>
            </w:r>
          </w:p>
        </w:tc>
      </w:tr>
      <w:tr w:rsidR="00F02300" w14:paraId="13038AF2" w14:textId="77777777" w:rsidTr="001C3C6E">
        <w:tc>
          <w:tcPr>
            <w:tcW w:w="1250" w:type="dxa"/>
          </w:tcPr>
          <w:p w14:paraId="7573BEE7" w14:textId="77777777" w:rsidR="00F02300" w:rsidRPr="00661B5F" w:rsidRDefault="00F02300" w:rsidP="00F02300">
            <w:pPr>
              <w:pStyle w:val="BodyText"/>
              <w:numPr>
                <w:ilvl w:val="0"/>
                <w:numId w:val="22"/>
              </w:numPr>
            </w:pPr>
          </w:p>
        </w:tc>
        <w:tc>
          <w:tcPr>
            <w:tcW w:w="2588" w:type="dxa"/>
          </w:tcPr>
          <w:p w14:paraId="746F8D90" w14:textId="44076036" w:rsidR="00F02300" w:rsidRPr="00FE1620" w:rsidRDefault="00F02300" w:rsidP="00F02300">
            <w:pPr>
              <w:pStyle w:val="BodyText"/>
            </w:pPr>
            <w:r w:rsidRPr="00FE1620">
              <w:rPr>
                <w:bCs/>
              </w:rPr>
              <w:t>4</w:t>
            </w:r>
            <w:r w:rsidR="00551759">
              <w:rPr>
                <w:bCs/>
              </w:rPr>
              <w:t>.1</w:t>
            </w:r>
            <w:r>
              <w:rPr>
                <w:bCs/>
              </w:rPr>
              <w:t xml:space="preserve"> </w:t>
            </w:r>
            <w:r w:rsidRPr="00FE1620">
              <w:rPr>
                <w:bCs/>
              </w:rPr>
              <w:t>(Information to be provided by the Employment Business)</w:t>
            </w:r>
          </w:p>
        </w:tc>
        <w:tc>
          <w:tcPr>
            <w:tcW w:w="5178" w:type="dxa"/>
          </w:tcPr>
          <w:p w14:paraId="7696D202" w14:textId="56DFC1C1" w:rsidR="00F02300" w:rsidRPr="00C95C35" w:rsidRDefault="00F73649" w:rsidP="00F02300">
            <w:pPr>
              <w:pStyle w:val="BodyText"/>
              <w:rPr>
                <w:bCs/>
              </w:rPr>
            </w:pPr>
            <w:r>
              <w:rPr>
                <w:bCs/>
              </w:rPr>
              <w:t>Where the Conduct Regulations apply, f</w:t>
            </w:r>
            <w:r w:rsidR="00F02300" w:rsidRPr="00CD127A">
              <w:rPr>
                <w:bCs/>
              </w:rPr>
              <w:t xml:space="preserve">or each individual </w:t>
            </w:r>
            <w:r w:rsidR="00F02300">
              <w:rPr>
                <w:bCs/>
              </w:rPr>
              <w:t>a</w:t>
            </w:r>
            <w:r w:rsidR="00F02300" w:rsidRPr="00CD127A">
              <w:rPr>
                <w:bCs/>
              </w:rPr>
              <w:t xml:space="preserve">ssignment </w:t>
            </w:r>
            <w:r w:rsidR="00F02300">
              <w:rPr>
                <w:bCs/>
              </w:rPr>
              <w:t xml:space="preserve">you </w:t>
            </w:r>
            <w:r w:rsidR="00F02300" w:rsidRPr="00CD127A">
              <w:rPr>
                <w:bCs/>
              </w:rPr>
              <w:t xml:space="preserve">must confirm the information required by Conduct Regulation 21 – you can use the sample Assignment Details Form in </w:t>
            </w:r>
            <w:r w:rsidR="00F02300">
              <w:rPr>
                <w:bCs/>
              </w:rPr>
              <w:t>the Template Document Library</w:t>
            </w:r>
            <w:r w:rsidR="00F02300" w:rsidRPr="00CD127A">
              <w:rPr>
                <w:bCs/>
              </w:rPr>
              <w:t xml:space="preserve">.  Even where the Conduct Regulations do not apply, we recommend that you provide the details shown in </w:t>
            </w:r>
            <w:r w:rsidR="00F02300">
              <w:rPr>
                <w:bCs/>
              </w:rPr>
              <w:t>those forms</w:t>
            </w:r>
            <w:r w:rsidR="00F02300" w:rsidRPr="00CD127A">
              <w:rPr>
                <w:bCs/>
              </w:rPr>
              <w:t>.</w:t>
            </w:r>
          </w:p>
        </w:tc>
      </w:tr>
      <w:tr w:rsidR="00F02300" w14:paraId="2B17AD64" w14:textId="77777777" w:rsidTr="001C3C6E">
        <w:tc>
          <w:tcPr>
            <w:tcW w:w="1250" w:type="dxa"/>
          </w:tcPr>
          <w:p w14:paraId="1B81FE2B" w14:textId="77777777" w:rsidR="00F02300" w:rsidRPr="00661B5F" w:rsidRDefault="00F02300" w:rsidP="00F02300">
            <w:pPr>
              <w:pStyle w:val="BodyText"/>
              <w:numPr>
                <w:ilvl w:val="0"/>
                <w:numId w:val="22"/>
              </w:numPr>
            </w:pPr>
          </w:p>
        </w:tc>
        <w:tc>
          <w:tcPr>
            <w:tcW w:w="2588" w:type="dxa"/>
          </w:tcPr>
          <w:p w14:paraId="65007DAD" w14:textId="228E196C" w:rsidR="00F02300" w:rsidRPr="00FE1620" w:rsidRDefault="00F02300" w:rsidP="00F02300">
            <w:pPr>
              <w:pStyle w:val="BodyText"/>
            </w:pPr>
            <w:r w:rsidRPr="00FE1620">
              <w:rPr>
                <w:bCs/>
              </w:rPr>
              <w:t>5</w:t>
            </w:r>
            <w:r w:rsidR="00551759">
              <w:rPr>
                <w:bCs/>
              </w:rPr>
              <w:t>.1.2</w:t>
            </w:r>
            <w:r w:rsidRPr="00FE1620">
              <w:rPr>
                <w:bCs/>
              </w:rPr>
              <w:t xml:space="preserve"> (Confirmation of delivery of the </w:t>
            </w:r>
            <w:r w:rsidR="00041507">
              <w:rPr>
                <w:bCs/>
              </w:rPr>
              <w:t>Assignment</w:t>
            </w:r>
            <w:r w:rsidRPr="00FE1620">
              <w:rPr>
                <w:bCs/>
              </w:rPr>
              <w:t xml:space="preserve"> Services)</w:t>
            </w:r>
          </w:p>
        </w:tc>
        <w:tc>
          <w:tcPr>
            <w:tcW w:w="5178" w:type="dxa"/>
          </w:tcPr>
          <w:p w14:paraId="5EE24FAE" w14:textId="0D61E2A1" w:rsidR="00F02300" w:rsidRPr="00C95C35" w:rsidRDefault="002908E4" w:rsidP="00F02300">
            <w:pPr>
              <w:pStyle w:val="BodyText"/>
              <w:rPr>
                <w:bCs/>
              </w:rPr>
            </w:pPr>
            <w:r w:rsidRPr="00CD127A">
              <w:rPr>
                <w:bCs/>
              </w:rPr>
              <w:t>To</w:t>
            </w:r>
            <w:r w:rsidR="00F02300" w:rsidRPr="00CD127A">
              <w:rPr>
                <w:bCs/>
              </w:rPr>
              <w:t xml:space="preserve">  charge the </w:t>
            </w:r>
            <w:r w:rsidR="00F02300">
              <w:rPr>
                <w:bCs/>
              </w:rPr>
              <w:t>c</w:t>
            </w:r>
            <w:r w:rsidR="00F02300" w:rsidRPr="00CD127A">
              <w:rPr>
                <w:bCs/>
              </w:rPr>
              <w:t xml:space="preserve">lient, </w:t>
            </w:r>
            <w:r w:rsidR="00F02300">
              <w:rPr>
                <w:bCs/>
              </w:rPr>
              <w:t xml:space="preserve">you need </w:t>
            </w:r>
            <w:r w:rsidR="00F02300" w:rsidRPr="00CD127A">
              <w:rPr>
                <w:bCs/>
              </w:rPr>
              <w:t xml:space="preserve">to know what hours have been worked or what services have been provided.  </w:t>
            </w:r>
            <w:r>
              <w:rPr>
                <w:bCs/>
              </w:rPr>
              <w:t>T</w:t>
            </w:r>
            <w:r w:rsidR="00F02300" w:rsidRPr="00CD127A">
              <w:rPr>
                <w:bCs/>
              </w:rPr>
              <w:t>his clause</w:t>
            </w:r>
            <w:r w:rsidR="00F75FBD">
              <w:rPr>
                <w:bCs/>
              </w:rPr>
              <w:t xml:space="preserve"> requires</w:t>
            </w:r>
            <w:r w:rsidR="00F02300" w:rsidRPr="00CD127A">
              <w:rPr>
                <w:bCs/>
              </w:rPr>
              <w:t xml:space="preserve">  the client to sign a timesheet, or where this is not appropriate (e.g. because work is being delivered in stages and can only be invoiced on completion of each stage) to confirm what work has been done and  can be charged for. </w:t>
            </w:r>
          </w:p>
        </w:tc>
      </w:tr>
      <w:tr w:rsidR="00F02300" w14:paraId="6E899814" w14:textId="77777777" w:rsidTr="001C3C6E">
        <w:tc>
          <w:tcPr>
            <w:tcW w:w="1250" w:type="dxa"/>
          </w:tcPr>
          <w:p w14:paraId="2BF8F425" w14:textId="77777777" w:rsidR="00F02300" w:rsidRPr="00661B5F" w:rsidRDefault="00F02300" w:rsidP="00F02300">
            <w:pPr>
              <w:pStyle w:val="BodyText"/>
              <w:numPr>
                <w:ilvl w:val="0"/>
                <w:numId w:val="22"/>
              </w:numPr>
            </w:pPr>
          </w:p>
        </w:tc>
        <w:tc>
          <w:tcPr>
            <w:tcW w:w="2588" w:type="dxa"/>
          </w:tcPr>
          <w:p w14:paraId="08BAF235" w14:textId="53CF790C" w:rsidR="00F02300" w:rsidRPr="00FE1620" w:rsidRDefault="00F02300" w:rsidP="00F02300">
            <w:pPr>
              <w:pStyle w:val="BodyText"/>
            </w:pPr>
            <w:r w:rsidRPr="00FE1620">
              <w:rPr>
                <w:bCs/>
              </w:rPr>
              <w:t>6.1</w:t>
            </w:r>
            <w:r>
              <w:rPr>
                <w:bCs/>
              </w:rPr>
              <w:t xml:space="preserve"> </w:t>
            </w:r>
            <w:r w:rsidRPr="00FE1620">
              <w:rPr>
                <w:bCs/>
              </w:rPr>
              <w:t>(Charges)</w:t>
            </w:r>
          </w:p>
        </w:tc>
        <w:tc>
          <w:tcPr>
            <w:tcW w:w="5178" w:type="dxa"/>
          </w:tcPr>
          <w:p w14:paraId="06EA88AA" w14:textId="613B1F10" w:rsidR="00F02300" w:rsidRPr="00C95C35" w:rsidRDefault="00F02300" w:rsidP="00F02300">
            <w:pPr>
              <w:pStyle w:val="BodyText"/>
              <w:rPr>
                <w:bCs/>
                <w:iCs/>
              </w:rPr>
            </w:pPr>
            <w:r>
              <w:rPr>
                <w:bCs/>
                <w:iCs/>
              </w:rPr>
              <w:t>You must agree t</w:t>
            </w:r>
            <w:r w:rsidRPr="00CD127A">
              <w:rPr>
                <w:bCs/>
                <w:iCs/>
              </w:rPr>
              <w:t xml:space="preserve">he Charges (staged payments and/or a completion fee or, alternatively, a monthly, weekly or daily rate (preferably not hourly)) with the </w:t>
            </w:r>
            <w:r>
              <w:rPr>
                <w:bCs/>
                <w:iCs/>
              </w:rPr>
              <w:t>c</w:t>
            </w:r>
            <w:r w:rsidRPr="00CD127A">
              <w:rPr>
                <w:bCs/>
                <w:iCs/>
              </w:rPr>
              <w:t xml:space="preserve">lient before the start of an assignment and should be confirmed in writing – this can be done in the assignment details form. </w:t>
            </w:r>
          </w:p>
        </w:tc>
      </w:tr>
      <w:tr w:rsidR="00F02300" w14:paraId="3E9A9A68" w14:textId="77777777" w:rsidTr="001C3C6E">
        <w:tc>
          <w:tcPr>
            <w:tcW w:w="1250" w:type="dxa"/>
          </w:tcPr>
          <w:p w14:paraId="1B1240B5" w14:textId="77777777" w:rsidR="00F02300" w:rsidRPr="00661B5F" w:rsidRDefault="00F02300" w:rsidP="00F02300">
            <w:pPr>
              <w:pStyle w:val="BodyText"/>
              <w:numPr>
                <w:ilvl w:val="0"/>
                <w:numId w:val="22"/>
              </w:numPr>
            </w:pPr>
          </w:p>
        </w:tc>
        <w:tc>
          <w:tcPr>
            <w:tcW w:w="2588" w:type="dxa"/>
          </w:tcPr>
          <w:p w14:paraId="26491C00" w14:textId="7A96C11D" w:rsidR="00F02300" w:rsidRPr="00FE1620" w:rsidRDefault="00F02300" w:rsidP="00F02300">
            <w:pPr>
              <w:pStyle w:val="BodyText"/>
            </w:pPr>
            <w:r w:rsidRPr="00FE1620">
              <w:rPr>
                <w:bCs/>
              </w:rPr>
              <w:t>6.1</w:t>
            </w:r>
            <w:r>
              <w:rPr>
                <w:bCs/>
              </w:rPr>
              <w:t xml:space="preserve"> </w:t>
            </w:r>
            <w:r w:rsidRPr="00FE1620">
              <w:rPr>
                <w:bCs/>
              </w:rPr>
              <w:t>(Charges – VAT)</w:t>
            </w:r>
          </w:p>
        </w:tc>
        <w:tc>
          <w:tcPr>
            <w:tcW w:w="5178" w:type="dxa"/>
          </w:tcPr>
          <w:p w14:paraId="4C8D15A0" w14:textId="77777777" w:rsidR="00F02300" w:rsidRPr="00CD127A" w:rsidRDefault="00F02300" w:rsidP="00F02300">
            <w:pPr>
              <w:pStyle w:val="BodyText"/>
            </w:pPr>
            <w:r w:rsidRPr="00771E29">
              <w:rPr>
                <w:b/>
                <w:bCs/>
              </w:rPr>
              <w:t>HMRC guidance</w:t>
            </w:r>
            <w:r w:rsidRPr="00CD127A">
              <w:t xml:space="preserve">: VAT is chargeable on all supplies of staff and on the whole of your charge unless you are not registered for VAT (in rare cases where your turnover is below the current VAT threshold) or where the supply is exempt or a concession exists. Those circumstances are limited to supplies involving nurses or healthcare or welfare services. For further information, see HMRC’s Notices 700/34 (Staff) and 701/57 (Health Professionals) and Business Brief 12/10 at </w:t>
            </w:r>
            <w:hyperlink r:id="rId42" w:history="1">
              <w:r w:rsidRPr="00B96D36">
                <w:rPr>
                  <w:rStyle w:val="Hyperlink"/>
                  <w:color w:val="36BEAE" w:themeColor="text2"/>
                </w:rPr>
                <w:t>www.hmrc.gov.uk</w:t>
              </w:r>
            </w:hyperlink>
            <w:r w:rsidRPr="00CD127A">
              <w:t xml:space="preserve"> or call the National Advice Service Helpline on 0300 200 3700. </w:t>
            </w:r>
          </w:p>
          <w:p w14:paraId="5B8382C0" w14:textId="77777777" w:rsidR="00F02300" w:rsidRPr="00CD127A" w:rsidRDefault="00F02300" w:rsidP="00F02300">
            <w:pPr>
              <w:pStyle w:val="BodyText"/>
            </w:pPr>
          </w:p>
          <w:p w14:paraId="5F3BE19B" w14:textId="36723CE0" w:rsidR="00F02300" w:rsidRPr="00CD127A" w:rsidRDefault="00F02300" w:rsidP="00F02300">
            <w:pPr>
              <w:pStyle w:val="BodyText"/>
            </w:pPr>
            <w:r w:rsidRPr="00CD127A">
              <w:t xml:space="preserve">For further information please </w:t>
            </w:r>
            <w:r>
              <w:t xml:space="preserve">see the </w:t>
            </w:r>
            <w:hyperlink r:id="rId43" w:history="1">
              <w:r w:rsidRPr="001C35DF">
                <w:rPr>
                  <w:rStyle w:val="Hyperlink"/>
                  <w:color w:val="36BEAE" w:themeColor="text2"/>
                </w:rPr>
                <w:t>VAT</w:t>
              </w:r>
            </w:hyperlink>
            <w:r>
              <w:t xml:space="preserve"> section of the Legal Guide.</w:t>
            </w:r>
            <w:r w:rsidRPr="00CD127A">
              <w:rPr>
                <w:bCs/>
                <w:color w:val="003A80"/>
              </w:rPr>
              <w:t xml:space="preserve">  </w:t>
            </w:r>
          </w:p>
          <w:p w14:paraId="174AD9B1" w14:textId="77777777" w:rsidR="00F02300" w:rsidRPr="00CD127A" w:rsidRDefault="00F02300" w:rsidP="00F02300">
            <w:pPr>
              <w:pStyle w:val="BodyText"/>
            </w:pPr>
          </w:p>
          <w:p w14:paraId="5DC3E0F9" w14:textId="79657F9B" w:rsidR="00F02300" w:rsidRPr="00771E29" w:rsidRDefault="00F02300" w:rsidP="00F02300">
            <w:pPr>
              <w:pStyle w:val="BodyText"/>
              <w:rPr>
                <w:b/>
                <w:bCs/>
                <w:color w:val="002060"/>
              </w:rPr>
            </w:pPr>
            <w:r w:rsidRPr="00771E29">
              <w:rPr>
                <w:b/>
                <w:bCs/>
                <w:color w:val="002060"/>
              </w:rPr>
              <w:t xml:space="preserve">Before agreeing to a client’s request not to charge VAT or making your own decision not to charge VAT, you </w:t>
            </w:r>
            <w:r w:rsidRPr="00771E29">
              <w:rPr>
                <w:b/>
                <w:bCs/>
                <w:color w:val="002060"/>
              </w:rPr>
              <w:lastRenderedPageBreak/>
              <w:t xml:space="preserve">should take professional tax advice. Do not rely on advice given to you by the client or their professional advisors. </w:t>
            </w:r>
          </w:p>
        </w:tc>
      </w:tr>
      <w:tr w:rsidR="00F02300" w14:paraId="0975341C" w14:textId="77777777" w:rsidTr="001C3C6E">
        <w:tc>
          <w:tcPr>
            <w:tcW w:w="1250" w:type="dxa"/>
          </w:tcPr>
          <w:p w14:paraId="0AB8AB15" w14:textId="77777777" w:rsidR="00F02300" w:rsidRPr="00661B5F" w:rsidRDefault="00F02300" w:rsidP="00F02300">
            <w:pPr>
              <w:pStyle w:val="BodyText"/>
              <w:numPr>
                <w:ilvl w:val="0"/>
                <w:numId w:val="22"/>
              </w:numPr>
            </w:pPr>
          </w:p>
        </w:tc>
        <w:tc>
          <w:tcPr>
            <w:tcW w:w="2588" w:type="dxa"/>
          </w:tcPr>
          <w:p w14:paraId="40B0F93F" w14:textId="595D54DB" w:rsidR="00F02300" w:rsidRPr="00FE1620" w:rsidRDefault="00F02300" w:rsidP="00F02300">
            <w:pPr>
              <w:pStyle w:val="BodyText"/>
            </w:pPr>
            <w:r w:rsidRPr="00FE1620">
              <w:t>Clause 6.2</w:t>
            </w:r>
            <w:r w:rsidR="00551759">
              <w:t>.1</w:t>
            </w:r>
          </w:p>
          <w:p w14:paraId="6987FE3F" w14:textId="4B005C8A" w:rsidR="00F02300" w:rsidRPr="00FE1620" w:rsidRDefault="00F02300" w:rsidP="00F02300">
            <w:pPr>
              <w:pStyle w:val="BodyText"/>
            </w:pPr>
            <w:r w:rsidRPr="00FE1620">
              <w:t xml:space="preserve">(Charges </w:t>
            </w:r>
            <w:r w:rsidRPr="00FE1620">
              <w:rPr>
                <w:bCs/>
              </w:rPr>
              <w:t>–</w:t>
            </w:r>
            <w:r w:rsidRPr="00FE1620">
              <w:t xml:space="preserve"> variation)</w:t>
            </w:r>
          </w:p>
        </w:tc>
        <w:tc>
          <w:tcPr>
            <w:tcW w:w="5178" w:type="dxa"/>
          </w:tcPr>
          <w:p w14:paraId="79EF40C9" w14:textId="1CD9AD2F" w:rsidR="00F02300" w:rsidRPr="00CD127A" w:rsidRDefault="00F02300" w:rsidP="00F02300">
            <w:pPr>
              <w:pStyle w:val="BodyText"/>
            </w:pPr>
            <w:r w:rsidRPr="00CD127A">
              <w:t xml:space="preserve">Under the </w:t>
            </w:r>
            <w:proofErr w:type="spellStart"/>
            <w:r w:rsidRPr="00CD127A">
              <w:t>AWR</w:t>
            </w:r>
            <w:proofErr w:type="spellEnd"/>
            <w:r w:rsidRPr="00CD127A">
              <w:t xml:space="preserve">, </w:t>
            </w:r>
            <w:r>
              <w:t xml:space="preserve">you must </w:t>
            </w:r>
            <w:r w:rsidRPr="00CD127A">
              <w:t xml:space="preserve">comply with the equal treatment provisions in respect of pay* and working conditions if the </w:t>
            </w:r>
            <w:r>
              <w:t>Agency Worker</w:t>
            </w:r>
            <w:r w:rsidRPr="00CD127A">
              <w:t xml:space="preserve"> has completed the 12-week qualifying period. </w:t>
            </w:r>
            <w:r w:rsidRPr="00771E29">
              <w:rPr>
                <w:b/>
                <w:bCs/>
              </w:rPr>
              <w:t xml:space="preserve">However, there is no obligation under the </w:t>
            </w:r>
            <w:proofErr w:type="spellStart"/>
            <w:r w:rsidRPr="00771E29">
              <w:rPr>
                <w:b/>
                <w:bCs/>
              </w:rPr>
              <w:t>AWR</w:t>
            </w:r>
            <w:proofErr w:type="spellEnd"/>
            <w:r w:rsidRPr="00771E29">
              <w:rPr>
                <w:b/>
                <w:bCs/>
              </w:rPr>
              <w:t xml:space="preserve"> for the client to compensate you for any resulting increase in the cost of engaging the Agency Worker. This will be down to commercial negotiation between you and the client.</w:t>
            </w:r>
            <w:r w:rsidRPr="00CD127A">
              <w:t xml:space="preserve"> </w:t>
            </w:r>
            <w:r>
              <w:t>So</w:t>
            </w:r>
            <w:r w:rsidRPr="00CD127A">
              <w:t xml:space="preserve">, we have included a provision </w:t>
            </w:r>
            <w:r>
              <w:t>which allows you to</w:t>
            </w:r>
            <w:r w:rsidRPr="00CD127A">
              <w:t xml:space="preserve"> increase the Charges to meet </w:t>
            </w:r>
            <w:r>
              <w:t xml:space="preserve">its </w:t>
            </w:r>
            <w:proofErr w:type="spellStart"/>
            <w:r>
              <w:t>AWR</w:t>
            </w:r>
            <w:proofErr w:type="spellEnd"/>
            <w:r>
              <w:t xml:space="preserve"> (and other) </w:t>
            </w:r>
            <w:r w:rsidRPr="00CD127A">
              <w:t>obligations.</w:t>
            </w:r>
          </w:p>
          <w:p w14:paraId="6A954884" w14:textId="77777777" w:rsidR="00F02300" w:rsidRPr="00CD127A" w:rsidRDefault="00F02300" w:rsidP="00F02300">
            <w:pPr>
              <w:pStyle w:val="BodyText"/>
            </w:pPr>
          </w:p>
          <w:p w14:paraId="2131AAE1" w14:textId="65D5A496" w:rsidR="00F02300" w:rsidRPr="00C12072" w:rsidRDefault="00F02300" w:rsidP="00F02300">
            <w:pPr>
              <w:pStyle w:val="BodyText"/>
            </w:pPr>
            <w:r w:rsidRPr="00CD127A">
              <w:t xml:space="preserve">*For the purposes of the </w:t>
            </w:r>
            <w:proofErr w:type="spellStart"/>
            <w:r w:rsidRPr="00CD127A">
              <w:t>AWR</w:t>
            </w:r>
            <w:proofErr w:type="spellEnd"/>
            <w:r w:rsidRPr="00CD127A">
              <w:t xml:space="preserve">, pay includes basic pay, bonus, commission, holiday pay, and other payments not listed in Regulation 6(2) but which include overtime, shift premia, unsocial hours premia and hazardous work payments. </w:t>
            </w:r>
          </w:p>
        </w:tc>
      </w:tr>
      <w:tr w:rsidR="00F02300" w14:paraId="3443D837" w14:textId="77777777" w:rsidTr="001C3C6E">
        <w:tc>
          <w:tcPr>
            <w:tcW w:w="1250" w:type="dxa"/>
          </w:tcPr>
          <w:p w14:paraId="4A5F9F6B" w14:textId="77777777" w:rsidR="00F02300" w:rsidRPr="00661B5F" w:rsidRDefault="00F02300" w:rsidP="00F02300">
            <w:pPr>
              <w:pStyle w:val="BodyText"/>
              <w:numPr>
                <w:ilvl w:val="0"/>
                <w:numId w:val="22"/>
              </w:numPr>
            </w:pPr>
          </w:p>
        </w:tc>
        <w:tc>
          <w:tcPr>
            <w:tcW w:w="2588" w:type="dxa"/>
          </w:tcPr>
          <w:p w14:paraId="5173AA34" w14:textId="4D5D9071" w:rsidR="00F02300" w:rsidRPr="00FE1620" w:rsidRDefault="00F02300" w:rsidP="00F02300">
            <w:pPr>
              <w:pStyle w:val="BodyText"/>
            </w:pPr>
            <w:r w:rsidRPr="00FE1620">
              <w:t xml:space="preserve">6.4 (Charges </w:t>
            </w:r>
            <w:r w:rsidRPr="00FE1620">
              <w:rPr>
                <w:bCs/>
              </w:rPr>
              <w:t>–</w:t>
            </w:r>
            <w:r w:rsidRPr="00FE1620">
              <w:t xml:space="preserve"> Bonus payment)</w:t>
            </w:r>
          </w:p>
        </w:tc>
        <w:tc>
          <w:tcPr>
            <w:tcW w:w="5178" w:type="dxa"/>
          </w:tcPr>
          <w:p w14:paraId="18D77BC7" w14:textId="3098ED34" w:rsidR="00F02300" w:rsidRPr="008A0B21" w:rsidRDefault="00F02300" w:rsidP="00F02300">
            <w:pPr>
              <w:pStyle w:val="BodyText"/>
            </w:pPr>
            <w:r w:rsidRPr="008A0B21">
              <w:t xml:space="preserve">Note the obligation on the client to pay you an amount equal to any bonus that the client awards to the Agency Worker and for you to then pay the bonus to the Agency Worker. This is a contractual obligation and not one imposed by the </w:t>
            </w:r>
            <w:proofErr w:type="spellStart"/>
            <w:r w:rsidRPr="008A0B21">
              <w:t>AWR</w:t>
            </w:r>
            <w:proofErr w:type="spellEnd"/>
            <w:r w:rsidRPr="008A0B21">
              <w:t xml:space="preserve">. </w:t>
            </w:r>
          </w:p>
          <w:p w14:paraId="1DB4404F" w14:textId="77777777" w:rsidR="00F02300" w:rsidRPr="008A0B21" w:rsidRDefault="00F02300" w:rsidP="00F02300">
            <w:pPr>
              <w:pStyle w:val="BodyText"/>
            </w:pPr>
          </w:p>
          <w:p w14:paraId="3EDEF570" w14:textId="4AD77559" w:rsidR="00F02300" w:rsidRDefault="00F02300" w:rsidP="00F02300">
            <w:pPr>
              <w:pStyle w:val="BodyText"/>
            </w:pPr>
            <w:r w:rsidRPr="008A0B21">
              <w:t>This clause allows you to charge commission on any bonus payable to the Agency Worker. It will be for the client to negotiate this out. Remember to charge and deduct the relevant national insurance contributions on any bonus. VAT will also be payable.</w:t>
            </w:r>
          </w:p>
          <w:p w14:paraId="46BDC1E1" w14:textId="77777777" w:rsidR="00F75FBD" w:rsidRPr="008A0B21" w:rsidRDefault="00F75FBD" w:rsidP="00F02300">
            <w:pPr>
              <w:pStyle w:val="BodyText"/>
            </w:pPr>
          </w:p>
          <w:p w14:paraId="5D558107" w14:textId="3DE5D661" w:rsidR="00F02300" w:rsidRPr="008A0B21" w:rsidRDefault="00F02300" w:rsidP="00F02300">
            <w:pPr>
              <w:pStyle w:val="BodyText"/>
            </w:pPr>
            <w:r w:rsidRPr="008A0B21">
              <w:t xml:space="preserve">Please see REC </w:t>
            </w:r>
            <w:hyperlink r:id="rId44" w:anchor="285387" w:history="1">
              <w:proofErr w:type="spellStart"/>
              <w:r w:rsidRPr="001C35DF">
                <w:rPr>
                  <w:rStyle w:val="Hyperlink"/>
                  <w:color w:val="36BEAE" w:themeColor="text2"/>
                </w:rPr>
                <w:t>AWR</w:t>
              </w:r>
              <w:proofErr w:type="spellEnd"/>
              <w:r w:rsidRPr="001C35DF">
                <w:rPr>
                  <w:rStyle w:val="Hyperlink"/>
                  <w:color w:val="36BEAE" w:themeColor="text2"/>
                </w:rPr>
                <w:t xml:space="preserve"> Factsheet 5</w:t>
              </w:r>
            </w:hyperlink>
            <w:r w:rsidRPr="008A0B21">
              <w:t xml:space="preserve"> for information on bonuses.</w:t>
            </w:r>
          </w:p>
        </w:tc>
      </w:tr>
      <w:tr w:rsidR="00F02300" w14:paraId="7642B35D" w14:textId="77777777" w:rsidTr="001C3C6E">
        <w:tc>
          <w:tcPr>
            <w:tcW w:w="1250" w:type="dxa"/>
          </w:tcPr>
          <w:p w14:paraId="0F2D204A" w14:textId="77777777" w:rsidR="00F02300" w:rsidRPr="00661B5F" w:rsidRDefault="00F02300" w:rsidP="00F02300">
            <w:pPr>
              <w:pStyle w:val="BodyText"/>
              <w:numPr>
                <w:ilvl w:val="0"/>
                <w:numId w:val="22"/>
              </w:numPr>
            </w:pPr>
          </w:p>
        </w:tc>
        <w:tc>
          <w:tcPr>
            <w:tcW w:w="2588" w:type="dxa"/>
          </w:tcPr>
          <w:p w14:paraId="513C76B9" w14:textId="3859643F" w:rsidR="00F02300" w:rsidRPr="00FE1620" w:rsidRDefault="00F02300" w:rsidP="00F02300">
            <w:pPr>
              <w:pStyle w:val="BodyText"/>
            </w:pPr>
            <w:r w:rsidRPr="00FE1620">
              <w:rPr>
                <w:bCs/>
              </w:rPr>
              <w:t>6.5</w:t>
            </w:r>
            <w:r>
              <w:rPr>
                <w:bCs/>
              </w:rPr>
              <w:t xml:space="preserve"> </w:t>
            </w:r>
            <w:r w:rsidRPr="00FE1620">
              <w:rPr>
                <w:bCs/>
              </w:rPr>
              <w:t>(Charges – interest on late payments)</w:t>
            </w:r>
          </w:p>
        </w:tc>
        <w:tc>
          <w:tcPr>
            <w:tcW w:w="5178" w:type="dxa"/>
          </w:tcPr>
          <w:p w14:paraId="6E20D745" w14:textId="77777777" w:rsidR="00F02300" w:rsidRPr="00CD127A" w:rsidRDefault="00F02300" w:rsidP="00F02300">
            <w:pPr>
              <w:pStyle w:val="BodyText"/>
              <w:rPr>
                <w:bCs/>
              </w:rPr>
            </w:pPr>
            <w:r w:rsidRPr="00CD127A">
              <w:rPr>
                <w:bCs/>
              </w:rPr>
              <w:t>All businesses can choose to claim interest at the statutory rate or at a rate tied to the rate charged by their own bank. Choose either Option A or Option B and delete the option not used.</w:t>
            </w:r>
          </w:p>
          <w:p w14:paraId="7CEF52B8" w14:textId="77777777" w:rsidR="00F02300" w:rsidRPr="00CD127A" w:rsidRDefault="00F02300" w:rsidP="00F02300">
            <w:pPr>
              <w:pStyle w:val="BodyText"/>
              <w:rPr>
                <w:bCs/>
              </w:rPr>
            </w:pPr>
          </w:p>
          <w:p w14:paraId="17A37EC3" w14:textId="6942DA4A" w:rsidR="00F02300" w:rsidRPr="008A0B21" w:rsidRDefault="00F02300" w:rsidP="00F02300">
            <w:pPr>
              <w:pStyle w:val="BodyText"/>
              <w:rPr>
                <w:bCs/>
              </w:rPr>
            </w:pPr>
            <w:r w:rsidRPr="00CD127A">
              <w:rPr>
                <w:bCs/>
              </w:rPr>
              <w:t xml:space="preserve">If choosing Option B, you should specify a rate not greater than 8% above the Bank of England base rate. </w:t>
            </w:r>
          </w:p>
        </w:tc>
      </w:tr>
      <w:tr w:rsidR="00F02300" w14:paraId="656C1957" w14:textId="77777777" w:rsidTr="001C3C6E">
        <w:tc>
          <w:tcPr>
            <w:tcW w:w="1250" w:type="dxa"/>
          </w:tcPr>
          <w:p w14:paraId="69F520DC" w14:textId="77777777" w:rsidR="00F02300" w:rsidRPr="00661B5F" w:rsidRDefault="00F02300" w:rsidP="00F02300">
            <w:pPr>
              <w:pStyle w:val="BodyText"/>
              <w:numPr>
                <w:ilvl w:val="0"/>
                <w:numId w:val="22"/>
              </w:numPr>
            </w:pPr>
          </w:p>
        </w:tc>
        <w:tc>
          <w:tcPr>
            <w:tcW w:w="2588" w:type="dxa"/>
          </w:tcPr>
          <w:p w14:paraId="7BFA9892" w14:textId="1F0BBE9E" w:rsidR="00F02300" w:rsidRPr="00FE1620" w:rsidRDefault="00F02300" w:rsidP="00F02300">
            <w:pPr>
              <w:pStyle w:val="BodyText"/>
            </w:pPr>
            <w:r w:rsidRPr="00FE1620">
              <w:rPr>
                <w:bCs/>
              </w:rPr>
              <w:t>6.7</w:t>
            </w:r>
            <w:r>
              <w:rPr>
                <w:bCs/>
              </w:rPr>
              <w:t xml:space="preserve"> </w:t>
            </w:r>
            <w:r w:rsidRPr="00FE1620">
              <w:rPr>
                <w:bCs/>
              </w:rPr>
              <w:t>(Charges –</w:t>
            </w:r>
            <w:r>
              <w:rPr>
                <w:bCs/>
              </w:rPr>
              <w:t xml:space="preserve"> </w:t>
            </w:r>
            <w:r w:rsidRPr="00FE1620">
              <w:rPr>
                <w:bCs/>
              </w:rPr>
              <w:t>refund)</w:t>
            </w:r>
          </w:p>
        </w:tc>
        <w:tc>
          <w:tcPr>
            <w:tcW w:w="5178" w:type="dxa"/>
          </w:tcPr>
          <w:p w14:paraId="57BC1485" w14:textId="4CA726CE" w:rsidR="00F02300" w:rsidRPr="008A0B21" w:rsidRDefault="00F02300" w:rsidP="00F02300">
            <w:pPr>
              <w:pStyle w:val="BodyText"/>
              <w:rPr>
                <w:bCs/>
              </w:rPr>
            </w:pPr>
            <w:r w:rsidRPr="00CD127A">
              <w:rPr>
                <w:bCs/>
              </w:rPr>
              <w:t xml:space="preserve">Please see Note </w:t>
            </w:r>
            <w:r>
              <w:rPr>
                <w:bCs/>
              </w:rPr>
              <w:t>25.</w:t>
            </w:r>
            <w:r w:rsidRPr="00CD127A">
              <w:rPr>
                <w:bCs/>
              </w:rPr>
              <w:t xml:space="preserve">  </w:t>
            </w:r>
            <w:r w:rsidR="007E5BBC">
              <w:rPr>
                <w:bCs/>
              </w:rPr>
              <w:t xml:space="preserve">Conduct </w:t>
            </w:r>
            <w:r w:rsidRPr="00CD127A">
              <w:rPr>
                <w:bCs/>
              </w:rPr>
              <w:t xml:space="preserve">Regulation 17 </w:t>
            </w:r>
            <w:r>
              <w:rPr>
                <w:bCs/>
              </w:rPr>
              <w:t xml:space="preserve">required </w:t>
            </w:r>
            <w:r w:rsidRPr="00CD127A">
              <w:rPr>
                <w:bCs/>
              </w:rPr>
              <w:t xml:space="preserve">that the employment business state whether refunds are available.  Though </w:t>
            </w:r>
            <w:r w:rsidR="007E5BBC">
              <w:rPr>
                <w:bCs/>
              </w:rPr>
              <w:t xml:space="preserve">Conduct </w:t>
            </w:r>
            <w:r w:rsidRPr="00CD127A">
              <w:rPr>
                <w:bCs/>
              </w:rPr>
              <w:t>Regulation 17 has been repealed</w:t>
            </w:r>
            <w:r>
              <w:rPr>
                <w:bCs/>
              </w:rPr>
              <w:t xml:space="preserve">, REC has kept this as a requirement of the REC Code of Professional Practices </w:t>
            </w:r>
            <w:r w:rsidR="00C02AA5">
              <w:rPr>
                <w:bCs/>
              </w:rPr>
              <w:t>s</w:t>
            </w:r>
            <w:r>
              <w:rPr>
                <w:bCs/>
              </w:rPr>
              <w:t>o do not delete this statement (</w:t>
            </w:r>
            <w:r w:rsidR="002908E4">
              <w:rPr>
                <w:bCs/>
              </w:rPr>
              <w:t>but</w:t>
            </w:r>
            <w:r>
              <w:rPr>
                <w:bCs/>
              </w:rPr>
              <w:t xml:space="preserve"> amend it if you give refunds and set out how and when you will give refunds).</w:t>
            </w:r>
          </w:p>
        </w:tc>
      </w:tr>
      <w:tr w:rsidR="00F02300" w14:paraId="20F53E86" w14:textId="77777777" w:rsidTr="001C3C6E">
        <w:tc>
          <w:tcPr>
            <w:tcW w:w="1250" w:type="dxa"/>
          </w:tcPr>
          <w:p w14:paraId="4E05442B" w14:textId="77777777" w:rsidR="00F02300" w:rsidRPr="00661B5F" w:rsidRDefault="00F02300" w:rsidP="00F02300">
            <w:pPr>
              <w:pStyle w:val="BodyText"/>
              <w:numPr>
                <w:ilvl w:val="0"/>
                <w:numId w:val="22"/>
              </w:numPr>
            </w:pPr>
          </w:p>
        </w:tc>
        <w:tc>
          <w:tcPr>
            <w:tcW w:w="2588" w:type="dxa"/>
          </w:tcPr>
          <w:p w14:paraId="3B14FF76" w14:textId="0554A2C0" w:rsidR="00F02300" w:rsidRPr="00FE1620" w:rsidRDefault="00F02300" w:rsidP="00F02300">
            <w:pPr>
              <w:pStyle w:val="BodyText"/>
            </w:pPr>
            <w:r w:rsidRPr="00FE1620">
              <w:rPr>
                <w:bCs/>
              </w:rPr>
              <w:t>7 (Paying the Temporary Resource)</w:t>
            </w:r>
          </w:p>
        </w:tc>
        <w:tc>
          <w:tcPr>
            <w:tcW w:w="5178" w:type="dxa"/>
          </w:tcPr>
          <w:p w14:paraId="19B85E52" w14:textId="7086DFAF" w:rsidR="00F02300" w:rsidRDefault="00F02300" w:rsidP="00F02300">
            <w:pPr>
              <w:pStyle w:val="BodyText"/>
              <w:rPr>
                <w:bCs/>
              </w:rPr>
            </w:pPr>
            <w:r>
              <w:rPr>
                <w:bCs/>
              </w:rPr>
              <w:t xml:space="preserve">The employment business's obligations to deduct tax and NICs and pay employers' NIC will differ depending on how the temporary worker is engaged. </w:t>
            </w:r>
          </w:p>
          <w:p w14:paraId="5B213916" w14:textId="77777777" w:rsidR="00F02300" w:rsidRPr="00FE1620" w:rsidRDefault="00F02300" w:rsidP="00F02300">
            <w:pPr>
              <w:pStyle w:val="BodyText"/>
              <w:rPr>
                <w:bCs/>
              </w:rPr>
            </w:pPr>
          </w:p>
          <w:p w14:paraId="01B8DB11" w14:textId="3B784241" w:rsidR="00F02300" w:rsidRDefault="00F02300" w:rsidP="00F02300">
            <w:pPr>
              <w:pStyle w:val="BodyText"/>
              <w:rPr>
                <w:b/>
              </w:rPr>
            </w:pPr>
            <w:r w:rsidRPr="00CA7186">
              <w:rPr>
                <w:b/>
              </w:rPr>
              <w:t>Paying a temporary worker engaged directly the Employment Business</w:t>
            </w:r>
          </w:p>
          <w:p w14:paraId="0F928877" w14:textId="77777777" w:rsidR="00F75FBD" w:rsidRPr="00CA7186" w:rsidRDefault="00F75FBD" w:rsidP="00F02300">
            <w:pPr>
              <w:pStyle w:val="BodyText"/>
              <w:rPr>
                <w:b/>
              </w:rPr>
            </w:pPr>
          </w:p>
          <w:p w14:paraId="2BB8B9AC" w14:textId="5DD5C212" w:rsidR="00F02300" w:rsidRPr="00CD127A" w:rsidRDefault="00F02300" w:rsidP="00F02300">
            <w:pPr>
              <w:pStyle w:val="BodyText"/>
              <w:rPr>
                <w:bCs/>
              </w:rPr>
            </w:pPr>
            <w:r w:rsidRPr="00CD127A">
              <w:t xml:space="preserve">Sections 44-47 of the Income Tax (Earnings and Pensions) Act 2003 require employment businesses to deduct PAYE tax from all individual temporary workers who work under the supervision, direction or control of the </w:t>
            </w:r>
            <w:r>
              <w:t>c</w:t>
            </w:r>
            <w:r w:rsidRPr="00CD127A">
              <w:t>lient as if they we</w:t>
            </w:r>
            <w:r>
              <w:t>r</w:t>
            </w:r>
            <w:r w:rsidRPr="00CD127A">
              <w:t xml:space="preserve">e the </w:t>
            </w:r>
            <w:r>
              <w:t>c</w:t>
            </w:r>
            <w:r w:rsidRPr="00CD127A">
              <w:t xml:space="preserve">lient’s own employees. Social security legislation requires the deduction of national insurance and the payment of employers’ national insurance. This does not mean that the </w:t>
            </w:r>
            <w:r>
              <w:t>temporary worker</w:t>
            </w:r>
            <w:r w:rsidRPr="00CD127A">
              <w:t xml:space="preserve"> is an employee or that they have the same employment rights as employees, </w:t>
            </w:r>
            <w:r w:rsidR="002908E4">
              <w:t>but</w:t>
            </w:r>
            <w:r w:rsidRPr="00CD127A">
              <w:t xml:space="preserve"> </w:t>
            </w:r>
            <w:r>
              <w:t>they</w:t>
            </w:r>
            <w:r w:rsidRPr="00CD127A">
              <w:t xml:space="preserve"> will be a worker for the purposes of NMW, holiday pay and other statutory </w:t>
            </w:r>
            <w:r w:rsidR="002908E4">
              <w:t>right</w:t>
            </w:r>
            <w:r w:rsidRPr="00CD127A">
              <w:t xml:space="preserve">s. Further information on </w:t>
            </w:r>
            <w:r w:rsidR="001D792E">
              <w:t xml:space="preserve">all of these </w:t>
            </w:r>
            <w:r w:rsidRPr="00CD127A">
              <w:t xml:space="preserve">can be found in the </w:t>
            </w:r>
            <w:proofErr w:type="spellStart"/>
            <w:r w:rsidRPr="00CD127A">
              <w:t>REC’s</w:t>
            </w:r>
            <w:proofErr w:type="spellEnd"/>
            <w:r w:rsidRPr="00CD127A">
              <w:t xml:space="preserve"> Legal Guide at </w:t>
            </w:r>
            <w:hyperlink r:id="rId45" w:history="1">
              <w:r w:rsidRPr="00B96D36">
                <w:rPr>
                  <w:rStyle w:val="Hyperlink"/>
                  <w:color w:val="36BEAE" w:themeColor="text2"/>
                </w:rPr>
                <w:t>www.rec.uk.com/legal</w:t>
              </w:r>
            </w:hyperlink>
            <w:r w:rsidR="001D792E">
              <w:rPr>
                <w:rStyle w:val="Hyperlink"/>
              </w:rPr>
              <w:t>.</w:t>
            </w:r>
          </w:p>
          <w:p w14:paraId="68B7D28D" w14:textId="77777777" w:rsidR="00F02300" w:rsidRPr="00CD127A" w:rsidRDefault="00F02300" w:rsidP="00F02300">
            <w:pPr>
              <w:pStyle w:val="BodyText"/>
              <w:rPr>
                <w:bCs/>
              </w:rPr>
            </w:pPr>
          </w:p>
          <w:p w14:paraId="6F155E9C" w14:textId="68253E15" w:rsidR="00F02300" w:rsidRDefault="00F02300" w:rsidP="00F02300">
            <w:pPr>
              <w:pStyle w:val="BodyText"/>
              <w:rPr>
                <w:b/>
              </w:rPr>
            </w:pPr>
            <w:r w:rsidRPr="00F34DC8">
              <w:rPr>
                <w:b/>
              </w:rPr>
              <w:t>Paying an intermediary such as an umbrella company or a PSC</w:t>
            </w:r>
          </w:p>
          <w:p w14:paraId="77CB8E28" w14:textId="77777777" w:rsidR="00F75FBD" w:rsidRPr="00F34DC8" w:rsidRDefault="00F75FBD" w:rsidP="00F02300">
            <w:pPr>
              <w:pStyle w:val="BodyText"/>
              <w:rPr>
                <w:b/>
              </w:rPr>
            </w:pPr>
          </w:p>
          <w:p w14:paraId="21DB7C63" w14:textId="5919337E" w:rsidR="00F02300" w:rsidRPr="00CD127A" w:rsidRDefault="00F02300" w:rsidP="00F02300">
            <w:pPr>
              <w:pStyle w:val="BodyText"/>
              <w:rPr>
                <w:bCs/>
              </w:rPr>
            </w:pPr>
            <w:r>
              <w:rPr>
                <w:bCs/>
              </w:rPr>
              <w:t>You must pay</w:t>
            </w:r>
            <w:r w:rsidR="001D792E">
              <w:rPr>
                <w:bCs/>
              </w:rPr>
              <w:t xml:space="preserve"> </w:t>
            </w:r>
            <w:r w:rsidRPr="00CD127A">
              <w:rPr>
                <w:bCs/>
              </w:rPr>
              <w:t>the Intermediary</w:t>
            </w:r>
            <w:r>
              <w:rPr>
                <w:bCs/>
              </w:rPr>
              <w:t xml:space="preserve"> you engage with</w:t>
            </w:r>
            <w:r w:rsidRPr="00CD127A">
              <w:rPr>
                <w:bCs/>
              </w:rPr>
              <w:t>. However</w:t>
            </w:r>
            <w:r>
              <w:rPr>
                <w:bCs/>
              </w:rPr>
              <w:t>,</w:t>
            </w:r>
            <w:r w:rsidRPr="00CD127A">
              <w:rPr>
                <w:bCs/>
              </w:rPr>
              <w:t xml:space="preserve"> depending on the type of intermediary</w:t>
            </w:r>
            <w:r>
              <w:rPr>
                <w:bCs/>
              </w:rPr>
              <w:t>,</w:t>
            </w:r>
            <w:r w:rsidRPr="00CD127A">
              <w:rPr>
                <w:bCs/>
              </w:rPr>
              <w:t xml:space="preserve"> different rules </w:t>
            </w:r>
            <w:r>
              <w:rPr>
                <w:bCs/>
              </w:rPr>
              <w:t xml:space="preserve">around deductions for tax and national insurance </w:t>
            </w:r>
            <w:r w:rsidRPr="00CD127A">
              <w:rPr>
                <w:bCs/>
              </w:rPr>
              <w:t>apply:</w:t>
            </w:r>
          </w:p>
          <w:p w14:paraId="7C3FA339" w14:textId="77777777" w:rsidR="00F02300" w:rsidRPr="00CD127A" w:rsidRDefault="00F02300" w:rsidP="00F02300">
            <w:pPr>
              <w:pStyle w:val="BodyText"/>
              <w:rPr>
                <w:bCs/>
              </w:rPr>
            </w:pPr>
          </w:p>
          <w:p w14:paraId="3065C9EE" w14:textId="36D95AE4" w:rsidR="00F02300" w:rsidRDefault="00F02300" w:rsidP="00F02300">
            <w:pPr>
              <w:pStyle w:val="BodyText"/>
              <w:numPr>
                <w:ilvl w:val="0"/>
                <w:numId w:val="32"/>
              </w:numPr>
              <w:rPr>
                <w:bCs/>
              </w:rPr>
            </w:pPr>
            <w:r w:rsidRPr="00FE1620">
              <w:rPr>
                <w:bCs/>
              </w:rPr>
              <w:t xml:space="preserve">An umbrella company – a temporary worker working through an umbrella company will not have a material interest in the company (see Note 12) therefore you do not have to think about IR35.  The umbrella company should deduct tax and NICs which means that the employment business can pay the umbrella company gross. However, the employment business must know that the umbrella company will and is deducting tax and NICs and is not in fact, engaging the individual through a PSC in which case </w:t>
            </w:r>
            <w:r>
              <w:rPr>
                <w:bCs/>
              </w:rPr>
              <w:t>you would have to consider</w:t>
            </w:r>
            <w:r w:rsidR="001D792E">
              <w:rPr>
                <w:bCs/>
              </w:rPr>
              <w:t xml:space="preserve"> </w:t>
            </w:r>
            <w:r>
              <w:rPr>
                <w:bCs/>
              </w:rPr>
              <w:t>the off-payroll rules.</w:t>
            </w:r>
          </w:p>
          <w:p w14:paraId="28916A5A" w14:textId="77777777" w:rsidR="00F02300" w:rsidRDefault="00F02300" w:rsidP="00B96D36">
            <w:pPr>
              <w:pStyle w:val="BodyText"/>
              <w:ind w:left="720"/>
              <w:rPr>
                <w:bCs/>
              </w:rPr>
            </w:pPr>
          </w:p>
          <w:p w14:paraId="3A5D3F80" w14:textId="060FBA60" w:rsidR="00F02300" w:rsidRPr="00FE1620" w:rsidRDefault="00F02300" w:rsidP="00F02300">
            <w:pPr>
              <w:pStyle w:val="BodyText"/>
              <w:numPr>
                <w:ilvl w:val="0"/>
                <w:numId w:val="32"/>
              </w:numPr>
              <w:rPr>
                <w:bCs/>
              </w:rPr>
            </w:pPr>
            <w:r>
              <w:rPr>
                <w:bCs/>
              </w:rPr>
              <w:t xml:space="preserve">A Construction Industry Scheme (CIS) intermediary - these operate in the same position in the recruitment supply chain as umbrella companies.  They operate in the construction sector only. The CIS rules are complex but in summary, the CIS intermediary will apply whatever level of deductions HMRC tell it to.  But, the off-payroll rules take </w:t>
            </w:r>
            <w:r>
              <w:rPr>
                <w:bCs/>
              </w:rPr>
              <w:lastRenderedPageBreak/>
              <w:t>precedence over CIS and so must be considered first.  For more information on CIS see the REC guide '</w:t>
            </w:r>
            <w:hyperlink r:id="rId46" w:history="1">
              <w:r w:rsidRPr="00B96D36">
                <w:rPr>
                  <w:rStyle w:val="Hyperlink"/>
                  <w:color w:val="36BEAE" w:themeColor="text2"/>
                </w:rPr>
                <w:t>Running an agency In the construction sector</w:t>
              </w:r>
            </w:hyperlink>
            <w:r>
              <w:rPr>
                <w:bCs/>
              </w:rPr>
              <w:t xml:space="preserve">' and HMRC's </w:t>
            </w:r>
            <w:hyperlink r:id="rId47" w:history="1">
              <w:r w:rsidRPr="00B96D36">
                <w:rPr>
                  <w:rStyle w:val="Hyperlink"/>
                  <w:color w:val="36BEAE" w:themeColor="text2"/>
                </w:rPr>
                <w:t>CIS 340</w:t>
              </w:r>
            </w:hyperlink>
            <w:r>
              <w:rPr>
                <w:bCs/>
              </w:rPr>
              <w:t xml:space="preserve">.  Please note that </w:t>
            </w:r>
            <w:r w:rsidRPr="00B96D36">
              <w:rPr>
                <w:b/>
                <w:bCs/>
              </w:rPr>
              <w:t>REC contracts have not been written to comply with the CIS rules</w:t>
            </w:r>
            <w:r>
              <w:rPr>
                <w:bCs/>
              </w:rPr>
              <w:t xml:space="preserve">. </w:t>
            </w:r>
          </w:p>
          <w:p w14:paraId="4C006BA1" w14:textId="77777777" w:rsidR="00F02300" w:rsidRPr="00FE1620" w:rsidRDefault="00F02300" w:rsidP="00F02300">
            <w:pPr>
              <w:pStyle w:val="BodyText"/>
              <w:rPr>
                <w:bCs/>
              </w:rPr>
            </w:pPr>
          </w:p>
          <w:p w14:paraId="12087ABD" w14:textId="19F431C3" w:rsidR="00F02300" w:rsidRDefault="00F02300" w:rsidP="00F02300">
            <w:pPr>
              <w:pStyle w:val="BodyText"/>
              <w:numPr>
                <w:ilvl w:val="0"/>
                <w:numId w:val="32"/>
              </w:numPr>
              <w:rPr>
                <w:bCs/>
              </w:rPr>
            </w:pPr>
            <w:r w:rsidRPr="00FE1620">
              <w:rPr>
                <w:bCs/>
              </w:rPr>
              <w:t xml:space="preserve">A personal services company – </w:t>
            </w:r>
            <w:r w:rsidR="00C2556A">
              <w:rPr>
                <w:bCs/>
              </w:rPr>
              <w:t>under this contract th</w:t>
            </w:r>
            <w:r w:rsidR="00B31E5D">
              <w:rPr>
                <w:bCs/>
              </w:rPr>
              <w:t>e</w:t>
            </w:r>
            <w:r w:rsidR="00C2556A">
              <w:rPr>
                <w:bCs/>
              </w:rPr>
              <w:t xml:space="preserve"> client is exempt from the Off-Payroll Rules.  This means the PSC continues to manage IR35.</w:t>
            </w:r>
            <w:r w:rsidRPr="00FE1620">
              <w:rPr>
                <w:bCs/>
              </w:rPr>
              <w:t xml:space="preserve">   </w:t>
            </w:r>
          </w:p>
          <w:p w14:paraId="2B553B71" w14:textId="77777777" w:rsidR="00F02300" w:rsidRPr="00CD127A" w:rsidRDefault="00F02300" w:rsidP="00F02300">
            <w:pPr>
              <w:pStyle w:val="BodyText"/>
              <w:rPr>
                <w:bCs/>
              </w:rPr>
            </w:pPr>
          </w:p>
          <w:p w14:paraId="2F99238A" w14:textId="69C6D56E" w:rsidR="00F02300" w:rsidRPr="00C12072" w:rsidRDefault="00F02300" w:rsidP="00F02300">
            <w:pPr>
              <w:pStyle w:val="BodyText"/>
            </w:pPr>
            <w:r w:rsidRPr="00CD127A">
              <w:rPr>
                <w:bCs/>
              </w:rPr>
              <w:t xml:space="preserve">The appropriate provisions re </w:t>
            </w:r>
            <w:r w:rsidR="00C2556A">
              <w:rPr>
                <w:bCs/>
              </w:rPr>
              <w:t xml:space="preserve">payment and </w:t>
            </w:r>
            <w:r w:rsidRPr="00CD127A">
              <w:rPr>
                <w:bCs/>
              </w:rPr>
              <w:t>deduction</w:t>
            </w:r>
            <w:r>
              <w:rPr>
                <w:bCs/>
              </w:rPr>
              <w:t>s</w:t>
            </w:r>
            <w:r w:rsidRPr="00CD127A">
              <w:rPr>
                <w:bCs/>
              </w:rPr>
              <w:t xml:space="preserve"> are in the contracts with the umbrella company or the personal services company.</w:t>
            </w:r>
          </w:p>
        </w:tc>
      </w:tr>
      <w:tr w:rsidR="00F02300" w14:paraId="5E3FF8A9" w14:textId="77777777" w:rsidTr="001C3C6E">
        <w:tc>
          <w:tcPr>
            <w:tcW w:w="1250" w:type="dxa"/>
          </w:tcPr>
          <w:p w14:paraId="40C0BAA4" w14:textId="77777777" w:rsidR="00F02300" w:rsidRPr="00661B5F" w:rsidRDefault="00F02300" w:rsidP="00F02300">
            <w:pPr>
              <w:pStyle w:val="BodyText"/>
              <w:numPr>
                <w:ilvl w:val="0"/>
                <w:numId w:val="22"/>
              </w:numPr>
            </w:pPr>
          </w:p>
        </w:tc>
        <w:tc>
          <w:tcPr>
            <w:tcW w:w="2588" w:type="dxa"/>
          </w:tcPr>
          <w:p w14:paraId="5456C399" w14:textId="44CB63A8" w:rsidR="00F02300" w:rsidRPr="00FE1620" w:rsidRDefault="00F02300" w:rsidP="00F02300">
            <w:pPr>
              <w:pStyle w:val="BodyText"/>
            </w:pPr>
            <w:r w:rsidRPr="00FE1620">
              <w:t>8 and Schedule 2</w:t>
            </w:r>
          </w:p>
          <w:p w14:paraId="1F9AB640" w14:textId="77777777" w:rsidR="00F02300" w:rsidRPr="00FE1620" w:rsidRDefault="00F02300" w:rsidP="00F02300">
            <w:pPr>
              <w:pStyle w:val="BodyText"/>
            </w:pPr>
            <w:r w:rsidRPr="00FE1620">
              <w:t>(Transfer Fees)</w:t>
            </w:r>
          </w:p>
          <w:p w14:paraId="3CC4F5FA" w14:textId="77777777" w:rsidR="00F02300" w:rsidRPr="00FE1620" w:rsidRDefault="00F02300" w:rsidP="00F02300">
            <w:pPr>
              <w:pStyle w:val="BodyText"/>
            </w:pPr>
          </w:p>
        </w:tc>
        <w:tc>
          <w:tcPr>
            <w:tcW w:w="5178" w:type="dxa"/>
          </w:tcPr>
          <w:p w14:paraId="6B1D4DD6" w14:textId="622FAFF6" w:rsidR="00F02300" w:rsidRPr="00C12072" w:rsidRDefault="00F02300" w:rsidP="00F02300">
            <w:pPr>
              <w:pStyle w:val="BodyText"/>
            </w:pPr>
            <w:r w:rsidRPr="00CD127A">
              <w:t xml:space="preserve">The REC cannot advise you on what transfer fees to charge or </w:t>
            </w:r>
            <w:r>
              <w:t xml:space="preserve">for </w:t>
            </w:r>
            <w:r w:rsidRPr="00CD127A">
              <w:t>what period.  However</w:t>
            </w:r>
            <w:r>
              <w:t>,</w:t>
            </w:r>
            <w:r w:rsidRPr="00CD127A">
              <w:t xml:space="preserve"> we recommend that the period here should not exceed </w:t>
            </w:r>
            <w:r>
              <w:t>six</w:t>
            </w:r>
            <w:r w:rsidRPr="00CD127A">
              <w:t xml:space="preserve"> months. </w:t>
            </w:r>
          </w:p>
        </w:tc>
      </w:tr>
      <w:tr w:rsidR="00F02300" w14:paraId="03B5B02E" w14:textId="77777777" w:rsidTr="001C3C6E">
        <w:tc>
          <w:tcPr>
            <w:tcW w:w="1250" w:type="dxa"/>
          </w:tcPr>
          <w:p w14:paraId="1043A670" w14:textId="77777777" w:rsidR="00F02300" w:rsidRPr="00661B5F" w:rsidRDefault="00F02300" w:rsidP="00F02300">
            <w:pPr>
              <w:pStyle w:val="BodyText"/>
              <w:numPr>
                <w:ilvl w:val="0"/>
                <w:numId w:val="22"/>
              </w:numPr>
            </w:pPr>
          </w:p>
        </w:tc>
        <w:tc>
          <w:tcPr>
            <w:tcW w:w="2588" w:type="dxa"/>
          </w:tcPr>
          <w:p w14:paraId="0E54E13F" w14:textId="62D31623" w:rsidR="00F02300" w:rsidRPr="00FE1620" w:rsidRDefault="00F02300" w:rsidP="00F02300">
            <w:pPr>
              <w:pStyle w:val="BodyText"/>
            </w:pPr>
            <w:r w:rsidRPr="00FE1620">
              <w:rPr>
                <w:bCs/>
              </w:rPr>
              <w:t>8.3</w:t>
            </w:r>
            <w:r w:rsidR="00B5714F">
              <w:rPr>
                <w:bCs/>
              </w:rPr>
              <w:t xml:space="preserve"> and 8.4</w:t>
            </w:r>
            <w:r>
              <w:rPr>
                <w:bCs/>
              </w:rPr>
              <w:t xml:space="preserve"> </w:t>
            </w:r>
            <w:r w:rsidRPr="00FE1620">
              <w:rPr>
                <w:bCs/>
              </w:rPr>
              <w:t>(Transfer Fees)</w:t>
            </w:r>
          </w:p>
        </w:tc>
        <w:tc>
          <w:tcPr>
            <w:tcW w:w="5178" w:type="dxa"/>
          </w:tcPr>
          <w:p w14:paraId="22720891" w14:textId="77777777" w:rsidR="00F02300" w:rsidRDefault="00F02300" w:rsidP="00F02300">
            <w:pPr>
              <w:pStyle w:val="BodyText"/>
              <w:rPr>
                <w:b/>
                <w:bCs/>
              </w:rPr>
            </w:pPr>
            <w:r w:rsidRPr="00B96D36">
              <w:rPr>
                <w:b/>
                <w:bCs/>
              </w:rPr>
              <w:t>When the C</w:t>
            </w:r>
            <w:r>
              <w:rPr>
                <w:b/>
                <w:bCs/>
              </w:rPr>
              <w:t>o</w:t>
            </w:r>
            <w:r w:rsidRPr="00B96D36">
              <w:rPr>
                <w:b/>
                <w:bCs/>
              </w:rPr>
              <w:t xml:space="preserve">nduct Regulations apply: </w:t>
            </w:r>
          </w:p>
          <w:p w14:paraId="4BA88AAB" w14:textId="77777777" w:rsidR="00F02300" w:rsidRDefault="00F02300" w:rsidP="00F02300">
            <w:pPr>
              <w:pStyle w:val="BodyText"/>
              <w:rPr>
                <w:bCs/>
              </w:rPr>
            </w:pPr>
          </w:p>
          <w:p w14:paraId="0298A037" w14:textId="0BBF7999" w:rsidR="00F02300" w:rsidRPr="00CD127A" w:rsidRDefault="00F02300" w:rsidP="00F02300">
            <w:pPr>
              <w:pStyle w:val="BodyText"/>
              <w:rPr>
                <w:bCs/>
              </w:rPr>
            </w:pPr>
            <w:r w:rsidRPr="00CD127A">
              <w:rPr>
                <w:bCs/>
              </w:rPr>
              <w:t xml:space="preserve">The purpose of the Transfer Fee and the Period of Extended Hire is to compensate you for any loss you may suffer </w:t>
            </w:r>
            <w:r>
              <w:rPr>
                <w:bCs/>
              </w:rPr>
              <w:t>if the client takes on any of your temporary workers.</w:t>
            </w:r>
            <w:r w:rsidRPr="00CD127A">
              <w:rPr>
                <w:bCs/>
              </w:rPr>
              <w:t xml:space="preserve"> Clause 8 and all its sub-clauses are designed to ensure that your </w:t>
            </w:r>
            <w:r>
              <w:rPr>
                <w:bCs/>
              </w:rPr>
              <w:t xml:space="preserve">transfer </w:t>
            </w:r>
            <w:r w:rsidRPr="00CD127A">
              <w:rPr>
                <w:bCs/>
              </w:rPr>
              <w:t xml:space="preserve">fees </w:t>
            </w:r>
            <w:r>
              <w:rPr>
                <w:bCs/>
              </w:rPr>
              <w:t xml:space="preserve">comply </w:t>
            </w:r>
            <w:r w:rsidRPr="00CD127A">
              <w:rPr>
                <w:bCs/>
              </w:rPr>
              <w:t xml:space="preserve">with Regulation 10 of the Conduct Regulations while protecting your right to claim a fee in various circumstances. </w:t>
            </w:r>
          </w:p>
          <w:p w14:paraId="34470B50" w14:textId="77777777" w:rsidR="00F02300" w:rsidRPr="00CD127A" w:rsidRDefault="00F02300" w:rsidP="00F02300">
            <w:pPr>
              <w:pStyle w:val="BodyText"/>
              <w:rPr>
                <w:bCs/>
              </w:rPr>
            </w:pPr>
          </w:p>
          <w:p w14:paraId="2489D1C9" w14:textId="7538FBF5" w:rsidR="00F02300" w:rsidRPr="00CD127A" w:rsidRDefault="00F02300" w:rsidP="00F02300">
            <w:pPr>
              <w:pStyle w:val="BodyText"/>
              <w:rPr>
                <w:bCs/>
              </w:rPr>
            </w:pPr>
            <w:r w:rsidRPr="00CD127A">
              <w:rPr>
                <w:bCs/>
              </w:rPr>
              <w:t>To recover a Transfer Fee under clause 8 you must stipulate the amount of the fee and the length of the extended hire period that will apply in the event of an engagement.</w:t>
            </w:r>
            <w:r w:rsidR="00631D75">
              <w:rPr>
                <w:bCs/>
              </w:rPr>
              <w:t xml:space="preserve"> </w:t>
            </w:r>
            <w:r w:rsidR="0080216D">
              <w:rPr>
                <w:bCs/>
              </w:rPr>
              <w:t>Yo</w:t>
            </w:r>
            <w:r w:rsidRPr="00CD127A">
              <w:rPr>
                <w:bCs/>
              </w:rPr>
              <w:t>u</w:t>
            </w:r>
            <w:r w:rsidR="0080216D">
              <w:rPr>
                <w:bCs/>
              </w:rPr>
              <w:t xml:space="preserve"> must</w:t>
            </w:r>
            <w:r w:rsidRPr="00CD127A">
              <w:rPr>
                <w:bCs/>
              </w:rPr>
              <w:t xml:space="preserve"> select one of three options available in Schedule 2 to this contract and fill in the blanks as appropriate</w:t>
            </w:r>
            <w:r w:rsidRPr="00CD127A">
              <w:rPr>
                <w:bCs/>
                <w:i/>
              </w:rPr>
              <w:t xml:space="preserve">. </w:t>
            </w:r>
            <w:r>
              <w:rPr>
                <w:bCs/>
                <w:i/>
              </w:rPr>
              <w:t>(</w:t>
            </w:r>
            <w:r w:rsidRPr="00FE1620">
              <w:rPr>
                <w:bCs/>
              </w:rPr>
              <w:t>see also Notes 61 and 62)</w:t>
            </w:r>
            <w:r>
              <w:rPr>
                <w:bCs/>
              </w:rPr>
              <w:t>.</w:t>
            </w:r>
          </w:p>
          <w:p w14:paraId="5641CEB4" w14:textId="77777777" w:rsidR="00F02300" w:rsidRPr="00CD127A" w:rsidRDefault="00F02300" w:rsidP="00F02300">
            <w:pPr>
              <w:pStyle w:val="BodyText"/>
              <w:rPr>
                <w:bCs/>
              </w:rPr>
            </w:pPr>
          </w:p>
          <w:p w14:paraId="35A3C28E" w14:textId="5465AAE1" w:rsidR="00F02300" w:rsidRPr="00CD127A" w:rsidRDefault="00F02300" w:rsidP="00F02300">
            <w:pPr>
              <w:pStyle w:val="BodyText"/>
              <w:rPr>
                <w:bCs/>
              </w:rPr>
            </w:pPr>
            <w:r w:rsidRPr="00CD127A">
              <w:rPr>
                <w:bCs/>
              </w:rPr>
              <w:t>Choose Option A in Schedule 2 if you use a fixed Transfer Fee e.g. 10% of the Remuneration or 10 times the weekly Charges, and a fixed Period of Extended Hire</w:t>
            </w:r>
            <w:r>
              <w:rPr>
                <w:bCs/>
              </w:rPr>
              <w:t>,</w:t>
            </w:r>
            <w:r w:rsidRPr="00CD127A">
              <w:rPr>
                <w:bCs/>
              </w:rPr>
              <w:t xml:space="preserve"> e.g. </w:t>
            </w:r>
            <w:r>
              <w:rPr>
                <w:bCs/>
              </w:rPr>
              <w:t>six</w:t>
            </w:r>
            <w:r w:rsidRPr="00CD127A">
              <w:rPr>
                <w:bCs/>
              </w:rPr>
              <w:t xml:space="preserve"> weeks. </w:t>
            </w:r>
          </w:p>
          <w:p w14:paraId="666BA264" w14:textId="77777777" w:rsidR="00F02300" w:rsidRPr="00CD127A" w:rsidRDefault="00F02300" w:rsidP="00F02300">
            <w:pPr>
              <w:pStyle w:val="BodyText"/>
              <w:rPr>
                <w:bCs/>
              </w:rPr>
            </w:pPr>
          </w:p>
          <w:p w14:paraId="4A41CA3E" w14:textId="77777777" w:rsidR="00F02300" w:rsidRPr="00CD127A" w:rsidRDefault="00F02300" w:rsidP="00F02300">
            <w:pPr>
              <w:pStyle w:val="BodyText"/>
              <w:rPr>
                <w:bCs/>
              </w:rPr>
            </w:pPr>
            <w:r w:rsidRPr="00CD127A">
              <w:rPr>
                <w:bCs/>
              </w:rPr>
              <w:t xml:space="preserve">Choose Option B in Schedule 2 if you would like flexibility to negotiate the Transfer Fee and Period of Extended Hire with different Clients. </w:t>
            </w:r>
          </w:p>
          <w:p w14:paraId="58F88649" w14:textId="77777777" w:rsidR="00F02300" w:rsidRPr="00CD127A" w:rsidRDefault="00F02300" w:rsidP="00F02300">
            <w:pPr>
              <w:pStyle w:val="BodyText"/>
              <w:rPr>
                <w:bCs/>
              </w:rPr>
            </w:pPr>
          </w:p>
          <w:p w14:paraId="51448F96" w14:textId="77777777" w:rsidR="00F02300" w:rsidRPr="00CD127A" w:rsidRDefault="00F02300" w:rsidP="00F02300">
            <w:pPr>
              <w:pStyle w:val="BodyText"/>
              <w:rPr>
                <w:bCs/>
              </w:rPr>
            </w:pPr>
            <w:r w:rsidRPr="00CD127A">
              <w:rPr>
                <w:bCs/>
              </w:rPr>
              <w:t>Choose Option C in Schedule 2 if you charge a Transfer Fee or conduct a Period of Extended Hire according to a sliding scale of weeks supplied.</w:t>
            </w:r>
          </w:p>
          <w:p w14:paraId="4E454B01" w14:textId="77777777" w:rsidR="00F02300" w:rsidRPr="00CD127A" w:rsidRDefault="00F02300" w:rsidP="00F02300">
            <w:pPr>
              <w:pStyle w:val="BodyText"/>
              <w:rPr>
                <w:bCs/>
              </w:rPr>
            </w:pPr>
          </w:p>
          <w:p w14:paraId="7812BF0C" w14:textId="77777777" w:rsidR="00F02300" w:rsidRDefault="00F02300" w:rsidP="00F02300">
            <w:pPr>
              <w:pStyle w:val="BodyText"/>
              <w:rPr>
                <w:bCs/>
              </w:rPr>
            </w:pPr>
            <w:r w:rsidRPr="00CD127A">
              <w:rPr>
                <w:bCs/>
              </w:rPr>
              <w:t xml:space="preserve">Whilst there is no statutory obligation on transfer fees to be reasonable, a transfer fee should not be set so high </w:t>
            </w:r>
            <w:r w:rsidRPr="00CD127A">
              <w:rPr>
                <w:bCs/>
              </w:rPr>
              <w:lastRenderedPageBreak/>
              <w:t xml:space="preserve">that it could be regarded as a penalty and would therefore be unenforceable. </w:t>
            </w:r>
            <w:r>
              <w:rPr>
                <w:bCs/>
              </w:rPr>
              <w:t>(</w:t>
            </w:r>
            <w:r w:rsidRPr="00FE1620">
              <w:rPr>
                <w:bCs/>
              </w:rPr>
              <w:t xml:space="preserve">see also Notes </w:t>
            </w:r>
            <w:r>
              <w:rPr>
                <w:bCs/>
              </w:rPr>
              <w:t xml:space="preserve">61 </w:t>
            </w:r>
            <w:r w:rsidRPr="00FE1620">
              <w:rPr>
                <w:bCs/>
              </w:rPr>
              <w:t xml:space="preserve">and </w:t>
            </w:r>
            <w:r>
              <w:rPr>
                <w:bCs/>
              </w:rPr>
              <w:t>62)</w:t>
            </w:r>
          </w:p>
          <w:p w14:paraId="40DE9520" w14:textId="77777777" w:rsidR="007E5BBC" w:rsidRDefault="007E5BBC" w:rsidP="00F02300">
            <w:pPr>
              <w:pStyle w:val="BodyText"/>
            </w:pPr>
          </w:p>
          <w:p w14:paraId="6951D718" w14:textId="360BC74B" w:rsidR="007E5BBC" w:rsidRPr="00C12072" w:rsidRDefault="007E5BBC" w:rsidP="00F02300">
            <w:pPr>
              <w:pStyle w:val="BodyText"/>
            </w:pPr>
            <w:r>
              <w:t>See the alternative transfer fee arrangements where the Conduct Regulations do not apply.</w:t>
            </w:r>
          </w:p>
        </w:tc>
      </w:tr>
      <w:tr w:rsidR="00F02300" w14:paraId="59EED4FA" w14:textId="77777777" w:rsidTr="00B96D36">
        <w:trPr>
          <w:trHeight w:val="626"/>
        </w:trPr>
        <w:tc>
          <w:tcPr>
            <w:tcW w:w="1250" w:type="dxa"/>
          </w:tcPr>
          <w:p w14:paraId="0B28F5CB" w14:textId="77777777" w:rsidR="00F02300" w:rsidRPr="00661B5F" w:rsidRDefault="00F02300" w:rsidP="00F02300">
            <w:pPr>
              <w:pStyle w:val="BodyText"/>
              <w:numPr>
                <w:ilvl w:val="0"/>
                <w:numId w:val="22"/>
              </w:numPr>
            </w:pPr>
          </w:p>
        </w:tc>
        <w:tc>
          <w:tcPr>
            <w:tcW w:w="2588" w:type="dxa"/>
          </w:tcPr>
          <w:p w14:paraId="3D6A2F0F" w14:textId="393A2A16" w:rsidR="00F02300" w:rsidRPr="00412758" w:rsidRDefault="00F02300" w:rsidP="00F02300">
            <w:pPr>
              <w:pStyle w:val="BodyText"/>
            </w:pPr>
            <w:r w:rsidRPr="00FE1620">
              <w:t>9.3</w:t>
            </w:r>
            <w:r>
              <w:t xml:space="preserve"> </w:t>
            </w:r>
            <w:r w:rsidRPr="00FE1620">
              <w:t>(Unsuitability of a Temporary Resource)</w:t>
            </w:r>
          </w:p>
        </w:tc>
        <w:tc>
          <w:tcPr>
            <w:tcW w:w="5178" w:type="dxa"/>
          </w:tcPr>
          <w:p w14:paraId="2D9C22C6" w14:textId="39FF2DB5" w:rsidR="00F02300" w:rsidRPr="00C12072" w:rsidRDefault="00F02300" w:rsidP="00F02300">
            <w:pPr>
              <w:pStyle w:val="BodyText"/>
            </w:pPr>
            <w:r w:rsidRPr="00CD127A">
              <w:t>This reflects the requirements of Regulation 20 of the Conduct Regulations.</w:t>
            </w:r>
          </w:p>
        </w:tc>
      </w:tr>
      <w:tr w:rsidR="00F02300" w14:paraId="28450EB7" w14:textId="77777777" w:rsidTr="001C3C6E">
        <w:tc>
          <w:tcPr>
            <w:tcW w:w="1250" w:type="dxa"/>
          </w:tcPr>
          <w:p w14:paraId="41081C65" w14:textId="77777777" w:rsidR="00F02300" w:rsidRPr="00661B5F" w:rsidRDefault="00F02300" w:rsidP="00F02300">
            <w:pPr>
              <w:pStyle w:val="BodyText"/>
              <w:numPr>
                <w:ilvl w:val="0"/>
                <w:numId w:val="22"/>
              </w:numPr>
            </w:pPr>
          </w:p>
        </w:tc>
        <w:tc>
          <w:tcPr>
            <w:tcW w:w="2588" w:type="dxa"/>
          </w:tcPr>
          <w:p w14:paraId="012A7B6F" w14:textId="77777777" w:rsidR="00551759" w:rsidRPr="00FE1620" w:rsidRDefault="00551759" w:rsidP="00551759">
            <w:pPr>
              <w:pStyle w:val="BodyText"/>
            </w:pPr>
            <w:r w:rsidRPr="00551759">
              <w:rPr>
                <w:bCs/>
              </w:rPr>
              <w:t>10 (Information to be provided in special situations)</w:t>
            </w:r>
          </w:p>
          <w:p w14:paraId="6F3627DB" w14:textId="3E453C63" w:rsidR="00F02300" w:rsidRPr="00FE1620" w:rsidRDefault="00F02300" w:rsidP="00F02300">
            <w:pPr>
              <w:pStyle w:val="BodyText"/>
            </w:pPr>
          </w:p>
        </w:tc>
        <w:tc>
          <w:tcPr>
            <w:tcW w:w="5178" w:type="dxa"/>
          </w:tcPr>
          <w:p w14:paraId="0BA3DC3F" w14:textId="6F761BF6" w:rsidR="00F02300" w:rsidRPr="00C12072" w:rsidRDefault="00F02300" w:rsidP="00F02300">
            <w:pPr>
              <w:pStyle w:val="BodyText"/>
            </w:pPr>
            <w:r>
              <w:rPr>
                <w:bCs/>
              </w:rPr>
              <w:t xml:space="preserve">If you supply temporary workers to work with vulnerable people you will have certain obligations under the Safeguarding Legislation. So, we have included these provisions to require the client to help you comply with those obligations.  You </w:t>
            </w:r>
            <w:r w:rsidR="0080216D">
              <w:rPr>
                <w:bCs/>
              </w:rPr>
              <w:t>c</w:t>
            </w:r>
            <w:r>
              <w:rPr>
                <w:bCs/>
              </w:rPr>
              <w:t xml:space="preserve">an </w:t>
            </w:r>
            <w:r w:rsidRPr="00CD127A">
              <w:rPr>
                <w:bCs/>
              </w:rPr>
              <w:t>delete</w:t>
            </w:r>
            <w:r>
              <w:rPr>
                <w:bCs/>
              </w:rPr>
              <w:t xml:space="preserve"> it</w:t>
            </w:r>
            <w:r w:rsidRPr="00CD127A">
              <w:rPr>
                <w:bCs/>
              </w:rPr>
              <w:t xml:space="preserve"> if you do not recruit for </w:t>
            </w:r>
            <w:r>
              <w:rPr>
                <w:bCs/>
              </w:rPr>
              <w:t xml:space="preserve">such </w:t>
            </w:r>
            <w:r w:rsidRPr="00CD127A">
              <w:rPr>
                <w:bCs/>
              </w:rPr>
              <w:t xml:space="preserve">roles but we recommend that you keep the clause in case such situations arise. </w:t>
            </w:r>
          </w:p>
        </w:tc>
      </w:tr>
      <w:tr w:rsidR="00F02300" w14:paraId="21BB834D" w14:textId="77777777" w:rsidTr="001C3C6E">
        <w:tc>
          <w:tcPr>
            <w:tcW w:w="1250" w:type="dxa"/>
          </w:tcPr>
          <w:p w14:paraId="2A9C7374" w14:textId="77777777" w:rsidR="00F02300" w:rsidRPr="00661B5F" w:rsidRDefault="00F02300" w:rsidP="00F02300">
            <w:pPr>
              <w:pStyle w:val="BodyText"/>
              <w:numPr>
                <w:ilvl w:val="0"/>
                <w:numId w:val="22"/>
              </w:numPr>
            </w:pPr>
          </w:p>
        </w:tc>
        <w:tc>
          <w:tcPr>
            <w:tcW w:w="2588" w:type="dxa"/>
          </w:tcPr>
          <w:p w14:paraId="63C22C58" w14:textId="02F82006" w:rsidR="00551759" w:rsidRPr="00FE1620" w:rsidRDefault="00F02300" w:rsidP="00551759">
            <w:pPr>
              <w:pStyle w:val="BodyText"/>
            </w:pPr>
            <w:r w:rsidRPr="00FE1620">
              <w:rPr>
                <w:bCs/>
              </w:rPr>
              <w:t>1</w:t>
            </w:r>
            <w:r w:rsidRPr="00551759">
              <w:rPr>
                <w:bCs/>
              </w:rPr>
              <w:t>0</w:t>
            </w:r>
            <w:r w:rsidR="00551759" w:rsidRPr="00551759">
              <w:rPr>
                <w:bCs/>
              </w:rPr>
              <w:t xml:space="preserve"> (Information to be provided in special situations)</w:t>
            </w:r>
          </w:p>
          <w:p w14:paraId="4F05F0EC" w14:textId="6C8D43ED" w:rsidR="00F02300" w:rsidRPr="00FE1620" w:rsidRDefault="00F02300" w:rsidP="00F02300">
            <w:pPr>
              <w:pStyle w:val="BodyText"/>
            </w:pPr>
          </w:p>
        </w:tc>
        <w:tc>
          <w:tcPr>
            <w:tcW w:w="5178" w:type="dxa"/>
          </w:tcPr>
          <w:p w14:paraId="31F86806" w14:textId="3ABB9130" w:rsidR="00F02300" w:rsidRPr="00C12072" w:rsidRDefault="00F02300" w:rsidP="00F02300">
            <w:pPr>
              <w:pStyle w:val="BodyText"/>
            </w:pPr>
            <w:r w:rsidRPr="00CD127A">
              <w:t xml:space="preserve">Employment businesses and employment agencies </w:t>
            </w:r>
            <w:r w:rsidR="0080216D">
              <w:t xml:space="preserve">must </w:t>
            </w:r>
            <w:r w:rsidRPr="00CD127A">
              <w:t xml:space="preserve"> refer certain information to the Disclosure and Barring Service about individuals who are removed from regulated activity positions (certain work with children or vulnerable adults) for safeguarding reasons. See the </w:t>
            </w:r>
            <w:hyperlink r:id="rId48" w:history="1">
              <w:r w:rsidRPr="001C35DF">
                <w:rPr>
                  <w:rStyle w:val="Hyperlink"/>
                  <w:color w:val="36BEAE" w:themeColor="text2"/>
                </w:rPr>
                <w:t>DBS</w:t>
              </w:r>
            </w:hyperlink>
            <w:r>
              <w:t xml:space="preserve"> </w:t>
            </w:r>
            <w:r w:rsidRPr="00CD127A">
              <w:t>section of the REC legal guide</w:t>
            </w:r>
            <w:r>
              <w:t>.</w:t>
            </w:r>
          </w:p>
        </w:tc>
      </w:tr>
      <w:tr w:rsidR="00F02300" w14:paraId="5EBB6D04" w14:textId="77777777" w:rsidTr="001C3C6E">
        <w:tc>
          <w:tcPr>
            <w:tcW w:w="1250" w:type="dxa"/>
          </w:tcPr>
          <w:p w14:paraId="11870AFF" w14:textId="77777777" w:rsidR="00F02300" w:rsidRPr="00661B5F" w:rsidRDefault="00F02300" w:rsidP="00F02300">
            <w:pPr>
              <w:pStyle w:val="BodyText"/>
              <w:numPr>
                <w:ilvl w:val="0"/>
                <w:numId w:val="22"/>
              </w:numPr>
            </w:pPr>
          </w:p>
        </w:tc>
        <w:tc>
          <w:tcPr>
            <w:tcW w:w="2588" w:type="dxa"/>
          </w:tcPr>
          <w:p w14:paraId="4F36ED5D" w14:textId="6C973271" w:rsidR="00F02300" w:rsidRPr="00FE1620" w:rsidRDefault="00F02300" w:rsidP="00F02300">
            <w:pPr>
              <w:pStyle w:val="BodyText"/>
              <w:rPr>
                <w:bCs/>
              </w:rPr>
            </w:pPr>
            <w:r w:rsidRPr="00FE1620">
              <w:rPr>
                <w:bCs/>
              </w:rPr>
              <w:t>11.3.</w:t>
            </w:r>
            <w:r w:rsidR="00B5714F">
              <w:rPr>
                <w:bCs/>
              </w:rPr>
              <w:t>6</w:t>
            </w:r>
            <w:r>
              <w:rPr>
                <w:bCs/>
              </w:rPr>
              <w:t xml:space="preserve"> </w:t>
            </w:r>
            <w:r w:rsidR="006F2347">
              <w:rPr>
                <w:bCs/>
              </w:rPr>
              <w:t xml:space="preserve">to 11.3.8 </w:t>
            </w:r>
            <w:r w:rsidRPr="00FE1620">
              <w:rPr>
                <w:bCs/>
              </w:rPr>
              <w:t>(Termination)</w:t>
            </w:r>
          </w:p>
          <w:p w14:paraId="04BD891F" w14:textId="77777777" w:rsidR="00F02300" w:rsidRPr="00FE1620" w:rsidRDefault="00F02300" w:rsidP="00F02300">
            <w:pPr>
              <w:pStyle w:val="BodyText"/>
            </w:pPr>
          </w:p>
        </w:tc>
        <w:tc>
          <w:tcPr>
            <w:tcW w:w="5178" w:type="dxa"/>
          </w:tcPr>
          <w:p w14:paraId="55473D97" w14:textId="01EABE32" w:rsidR="00AC74F5" w:rsidRPr="001C35DF" w:rsidRDefault="00AC74F5" w:rsidP="00AC74F5">
            <w:pPr>
              <w:ind w:right="284"/>
              <w:rPr>
                <w:rFonts w:ascii="Lato" w:hAnsi="Lato"/>
                <w:iCs/>
                <w:color w:val="002060"/>
                <w:szCs w:val="20"/>
              </w:rPr>
            </w:pPr>
            <w:r w:rsidRPr="001C35DF">
              <w:rPr>
                <w:rFonts w:ascii="Lato" w:hAnsi="Lato"/>
                <w:iCs/>
                <w:color w:val="002060"/>
                <w:szCs w:val="20"/>
              </w:rPr>
              <w:t xml:space="preserve">Members should take steps to ensure the PSC is compliant with Chapter 8 </w:t>
            </w:r>
            <w:proofErr w:type="spellStart"/>
            <w:r w:rsidRPr="001C35DF">
              <w:rPr>
                <w:rFonts w:ascii="Lato" w:hAnsi="Lato"/>
                <w:iCs/>
                <w:color w:val="002060"/>
                <w:szCs w:val="20"/>
              </w:rPr>
              <w:t>ITEPA</w:t>
            </w:r>
            <w:proofErr w:type="spellEnd"/>
            <w:r w:rsidRPr="001C35DF">
              <w:rPr>
                <w:rFonts w:ascii="Lato" w:hAnsi="Lato"/>
                <w:iCs/>
                <w:color w:val="002060"/>
                <w:szCs w:val="20"/>
              </w:rPr>
              <w:t xml:space="preserve"> (re: IR35) and accounting for PAYE and NIC as the contract in operation is inside IR35. </w:t>
            </w:r>
            <w:r w:rsidR="002C6422">
              <w:rPr>
                <w:rFonts w:ascii="Lato" w:hAnsi="Lato"/>
                <w:iCs/>
                <w:color w:val="002060"/>
                <w:szCs w:val="20"/>
              </w:rPr>
              <w:t>T</w:t>
            </w:r>
            <w:r w:rsidRPr="001C35DF">
              <w:rPr>
                <w:rFonts w:ascii="Lato" w:hAnsi="Lato"/>
                <w:iCs/>
                <w:color w:val="002060"/>
                <w:szCs w:val="20"/>
              </w:rPr>
              <w:t xml:space="preserve">hose working </w:t>
            </w:r>
            <w:r w:rsidR="002C6422">
              <w:rPr>
                <w:rFonts w:ascii="Lato" w:hAnsi="Lato"/>
                <w:iCs/>
                <w:color w:val="002060"/>
                <w:szCs w:val="20"/>
              </w:rPr>
              <w:t xml:space="preserve">under PAYE or </w:t>
            </w:r>
            <w:r w:rsidRPr="001C35DF">
              <w:rPr>
                <w:rFonts w:ascii="Lato" w:hAnsi="Lato"/>
                <w:iCs/>
                <w:color w:val="002060"/>
                <w:szCs w:val="20"/>
              </w:rPr>
              <w:t>through PSCs cannot benefit from travel and subsistence relief when operating inside IR35.</w:t>
            </w:r>
          </w:p>
          <w:p w14:paraId="2912B647" w14:textId="77777777" w:rsidR="00AC74F5" w:rsidRPr="001C35DF" w:rsidRDefault="00AC74F5" w:rsidP="00AC74F5">
            <w:pPr>
              <w:ind w:right="284"/>
              <w:rPr>
                <w:rFonts w:ascii="Lato" w:hAnsi="Lato"/>
                <w:iCs/>
                <w:color w:val="002060"/>
                <w:szCs w:val="20"/>
              </w:rPr>
            </w:pPr>
          </w:p>
          <w:p w14:paraId="76420B61" w14:textId="350C31CD" w:rsidR="00F02300" w:rsidRPr="001C35DF" w:rsidRDefault="00AC74F5" w:rsidP="00F02300">
            <w:pPr>
              <w:pStyle w:val="BodyText"/>
              <w:rPr>
                <w:color w:val="002060"/>
              </w:rPr>
            </w:pPr>
            <w:r w:rsidRPr="001C35DF">
              <w:rPr>
                <w:iCs/>
                <w:color w:val="002060"/>
              </w:rPr>
              <w:t xml:space="preserve">Finally, liability may also transfer to the Employment Business if it is involved in “arrangements” </w:t>
            </w:r>
            <w:r w:rsidR="00B31E5D">
              <w:rPr>
                <w:iCs/>
                <w:color w:val="002060"/>
              </w:rPr>
              <w:t xml:space="preserve">which are designed </w:t>
            </w:r>
            <w:r w:rsidRPr="001C35DF">
              <w:rPr>
                <w:iCs/>
                <w:color w:val="002060"/>
              </w:rPr>
              <w:t xml:space="preserve">to avoid the application of Section 339A.  This could include mass migrating temps from umbrella companies to PSCs.  </w:t>
            </w:r>
          </w:p>
        </w:tc>
      </w:tr>
      <w:tr w:rsidR="00F02300" w14:paraId="7A98C3F9" w14:textId="77777777" w:rsidTr="001C3C6E">
        <w:tc>
          <w:tcPr>
            <w:tcW w:w="1250" w:type="dxa"/>
          </w:tcPr>
          <w:p w14:paraId="534C911A" w14:textId="77777777" w:rsidR="00F02300" w:rsidRPr="00661B5F" w:rsidRDefault="00F02300" w:rsidP="00F02300">
            <w:pPr>
              <w:pStyle w:val="BodyText"/>
              <w:numPr>
                <w:ilvl w:val="0"/>
                <w:numId w:val="22"/>
              </w:numPr>
            </w:pPr>
          </w:p>
        </w:tc>
        <w:tc>
          <w:tcPr>
            <w:tcW w:w="2588" w:type="dxa"/>
          </w:tcPr>
          <w:p w14:paraId="3B67713B" w14:textId="78C67D85" w:rsidR="00F02300" w:rsidRPr="00661B5F" w:rsidRDefault="00F02300" w:rsidP="00F02300">
            <w:pPr>
              <w:pStyle w:val="BodyText"/>
            </w:pPr>
            <w:r w:rsidRPr="00CD127A">
              <w:t>11.3.</w:t>
            </w:r>
            <w:r w:rsidR="006F2347">
              <w:t>9</w:t>
            </w:r>
            <w:r w:rsidRPr="00CD127A">
              <w:t xml:space="preserve"> (Term and Termination – data protection)</w:t>
            </w:r>
          </w:p>
        </w:tc>
        <w:tc>
          <w:tcPr>
            <w:tcW w:w="5178" w:type="dxa"/>
          </w:tcPr>
          <w:p w14:paraId="448A9E26" w14:textId="434455DD" w:rsidR="00F02300" w:rsidRPr="00CD127A" w:rsidRDefault="00F02300" w:rsidP="00F02300">
            <w:pPr>
              <w:pStyle w:val="BodyText"/>
            </w:pPr>
            <w:r w:rsidRPr="00CD127A">
              <w:t xml:space="preserve">The General Data Protection Regulation (GDPR) and the Data Protection Act 2018 came into effect in May 2018 and build upon existing data protection law to reflect technological change and the level and types of personal data collected by organisations.   Organisations must have a legal reason for processing personal data.  </w:t>
            </w:r>
          </w:p>
          <w:p w14:paraId="14E202A8" w14:textId="77777777" w:rsidR="00F02300" w:rsidRPr="00CD127A" w:rsidRDefault="00F02300" w:rsidP="00F02300">
            <w:pPr>
              <w:pStyle w:val="BodyText"/>
            </w:pPr>
          </w:p>
          <w:p w14:paraId="3D8C9B42" w14:textId="2F9EDB39" w:rsidR="00F02300" w:rsidRPr="00CD127A" w:rsidRDefault="00F02300" w:rsidP="00F02300">
            <w:pPr>
              <w:pStyle w:val="BodyText"/>
            </w:pPr>
            <w:r w:rsidRPr="00CD127A">
              <w:t xml:space="preserve">Article 82 of the GDPR provides that an individual who suffers damage </w:t>
            </w:r>
            <w:r w:rsidR="0080216D" w:rsidRPr="00CD127A">
              <w:t>because of</w:t>
            </w:r>
            <w:r w:rsidRPr="00CD127A">
              <w:t xml:space="preserve"> a breach of the GDPR is entitled to compensation from the party that committed that breach.  Where there is more than one data controller or processor each will be held liable for the entire damage to ensure that the individual receives appropriate compensation.  </w:t>
            </w:r>
          </w:p>
          <w:p w14:paraId="562CFD9B" w14:textId="77777777" w:rsidR="00F02300" w:rsidRPr="00CD127A" w:rsidRDefault="00F02300" w:rsidP="00F02300">
            <w:pPr>
              <w:pStyle w:val="BodyText"/>
            </w:pPr>
          </w:p>
          <w:p w14:paraId="1709F9DB" w14:textId="12C9CAFB" w:rsidR="00F02300" w:rsidRPr="00CD127A" w:rsidRDefault="00F02300" w:rsidP="00F02300">
            <w:pPr>
              <w:pStyle w:val="BodyText"/>
            </w:pPr>
            <w:r w:rsidRPr="00CD127A">
              <w:t xml:space="preserve">Where the </w:t>
            </w:r>
            <w:r>
              <w:t>c</w:t>
            </w:r>
            <w:r w:rsidRPr="00CD127A">
              <w:t xml:space="preserve">lient breaches the Data Protection Laws, the </w:t>
            </w:r>
            <w:r>
              <w:t>e</w:t>
            </w:r>
            <w:r w:rsidRPr="00CD127A">
              <w:t xml:space="preserve">mployment </w:t>
            </w:r>
            <w:r>
              <w:t>b</w:t>
            </w:r>
            <w:r w:rsidRPr="00CD127A">
              <w:t xml:space="preserve">usiness will want to limit any further liability and so may wish to terminate the contract. </w:t>
            </w:r>
          </w:p>
          <w:p w14:paraId="74C2F22A" w14:textId="77777777" w:rsidR="00F02300" w:rsidRPr="00CD127A" w:rsidRDefault="00F02300" w:rsidP="00F02300">
            <w:pPr>
              <w:pStyle w:val="BodyText"/>
            </w:pPr>
          </w:p>
          <w:p w14:paraId="0A6FB5A9" w14:textId="2FA13EFB" w:rsidR="00F02300" w:rsidRPr="00C12072" w:rsidRDefault="0080216D" w:rsidP="00F02300">
            <w:pPr>
              <w:pStyle w:val="BodyText"/>
            </w:pPr>
            <w:r>
              <w:t>W</w:t>
            </w:r>
            <w:r w:rsidR="00F02300" w:rsidRPr="00CD127A">
              <w:t xml:space="preserve">e have included the indemnity from the </w:t>
            </w:r>
            <w:r w:rsidR="00F02300">
              <w:t xml:space="preserve">client </w:t>
            </w:r>
            <w:r w:rsidR="00F02300" w:rsidRPr="00CD127A">
              <w:t xml:space="preserve">to the </w:t>
            </w:r>
            <w:r w:rsidR="00F02300">
              <w:t>e</w:t>
            </w:r>
            <w:r w:rsidR="00F02300" w:rsidRPr="00CD127A">
              <w:t xml:space="preserve">mployment </w:t>
            </w:r>
            <w:r w:rsidR="00F02300">
              <w:t>b</w:t>
            </w:r>
            <w:r w:rsidR="00F02300" w:rsidRPr="00CD127A">
              <w:t>usiness to protect the Employment Business against any losses it incurs because of the</w:t>
            </w:r>
            <w:r w:rsidR="00F02300">
              <w:t xml:space="preserve"> client’s breach</w:t>
            </w:r>
            <w:r w:rsidR="00F02300" w:rsidRPr="00CD127A">
              <w:t xml:space="preserve"> of the Data Protection Laws. </w:t>
            </w:r>
            <w:r w:rsidR="00F02300">
              <w:t>Client</w:t>
            </w:r>
            <w:r w:rsidR="00F02300" w:rsidRPr="00CD127A">
              <w:t xml:space="preserve">s may push back but the indemnity is limited to losses incurred </w:t>
            </w:r>
            <w:r w:rsidRPr="00CD127A">
              <w:t>because of</w:t>
            </w:r>
            <w:r w:rsidR="00F02300" w:rsidRPr="00CD127A">
              <w:t xml:space="preserve"> </w:t>
            </w:r>
            <w:r w:rsidR="00F02300" w:rsidRPr="00CD127A">
              <w:rPr>
                <w:i/>
              </w:rPr>
              <w:t>their</w:t>
            </w:r>
            <w:r w:rsidR="00F02300" w:rsidRPr="00CD127A">
              <w:t xml:space="preserve"> breach of the GDPR and not any breach.  We have not included a reciprocal indemnity from </w:t>
            </w:r>
            <w:r w:rsidR="00F02300">
              <w:t xml:space="preserve">you </w:t>
            </w:r>
            <w:r w:rsidR="00F02300" w:rsidRPr="00CD127A">
              <w:t xml:space="preserve">to the </w:t>
            </w:r>
            <w:r w:rsidR="00F02300">
              <w:t xml:space="preserve">client, </w:t>
            </w:r>
            <w:r w:rsidR="00F02300" w:rsidRPr="00CD127A">
              <w:t xml:space="preserve">but </w:t>
            </w:r>
            <w:r w:rsidR="00F02300">
              <w:t>clients</w:t>
            </w:r>
            <w:r w:rsidR="00F02300" w:rsidRPr="00CD127A">
              <w:t xml:space="preserve"> may request this from you. If you do agree to give such an indemnity, again limit it to any losses </w:t>
            </w:r>
            <w:r w:rsidRPr="00CD127A">
              <w:t>because of</w:t>
            </w:r>
            <w:r w:rsidR="00F02300" w:rsidRPr="00CD127A">
              <w:t xml:space="preserve"> </w:t>
            </w:r>
            <w:r w:rsidR="00F02300" w:rsidRPr="008D2ED1">
              <w:rPr>
                <w:i/>
                <w:iCs/>
              </w:rPr>
              <w:t>your</w:t>
            </w:r>
            <w:r w:rsidR="00F02300" w:rsidRPr="00CD127A">
              <w:t xml:space="preserve"> breach of GDPR and do not indemnify the </w:t>
            </w:r>
            <w:r w:rsidR="00F02300">
              <w:t xml:space="preserve">client </w:t>
            </w:r>
            <w:r w:rsidR="00F02300" w:rsidRPr="00CD127A">
              <w:t>for their own breaches. Please check with your insurer before you give any indemnities.</w:t>
            </w:r>
            <w:r w:rsidR="00F02300">
              <w:t xml:space="preserve"> </w:t>
            </w:r>
          </w:p>
        </w:tc>
      </w:tr>
      <w:tr w:rsidR="00F02300" w14:paraId="0CDC69EB" w14:textId="77777777" w:rsidTr="001C3C6E">
        <w:tc>
          <w:tcPr>
            <w:tcW w:w="1250" w:type="dxa"/>
          </w:tcPr>
          <w:p w14:paraId="06BB4981" w14:textId="77777777" w:rsidR="00F02300" w:rsidRPr="00661B5F" w:rsidRDefault="00F02300" w:rsidP="00F02300">
            <w:pPr>
              <w:pStyle w:val="BodyText"/>
              <w:numPr>
                <w:ilvl w:val="0"/>
                <w:numId w:val="22"/>
              </w:numPr>
            </w:pPr>
          </w:p>
        </w:tc>
        <w:tc>
          <w:tcPr>
            <w:tcW w:w="2588" w:type="dxa"/>
          </w:tcPr>
          <w:p w14:paraId="59FF8B77" w14:textId="50CBFCB5" w:rsidR="00F02300" w:rsidRPr="00FE1620" w:rsidRDefault="00F02300" w:rsidP="00F02300">
            <w:pPr>
              <w:pStyle w:val="BodyText"/>
            </w:pPr>
            <w:r w:rsidRPr="00FE1620">
              <w:t>14.3 (Liability)</w:t>
            </w:r>
          </w:p>
        </w:tc>
        <w:tc>
          <w:tcPr>
            <w:tcW w:w="5178" w:type="dxa"/>
          </w:tcPr>
          <w:p w14:paraId="3B963783" w14:textId="6118FB14" w:rsidR="00F02300" w:rsidRPr="00C12072" w:rsidRDefault="00F02300" w:rsidP="00F02300">
            <w:pPr>
              <w:pStyle w:val="BodyText"/>
            </w:pPr>
            <w:r w:rsidRPr="00FE1620">
              <w:t xml:space="preserve">In reality, clients are unlikely to give such notification.  However, if the client (or any other person) supervises, directs or controls the PSC (or seeks the right to) you might become liable to deduct PAYE and NICs if the other criteria set out in the guidance notes are met.  </w:t>
            </w:r>
            <w:r w:rsidR="007E5BBC">
              <w:t>I</w:t>
            </w:r>
            <w:r w:rsidRPr="00FE1620">
              <w:t xml:space="preserve">f the client provides fraudulent documentation as to supervision, direction and control it will become liable for any PAYE or NICs due (sections 44(4)(a) and 44(5) </w:t>
            </w:r>
            <w:proofErr w:type="spellStart"/>
            <w:r w:rsidRPr="00FE1620">
              <w:t>ITEPA</w:t>
            </w:r>
            <w:proofErr w:type="spellEnd"/>
            <w:r w:rsidRPr="00FE1620">
              <w:t xml:space="preserve">).  </w:t>
            </w:r>
          </w:p>
        </w:tc>
      </w:tr>
      <w:tr w:rsidR="00F02300" w14:paraId="38268ACB" w14:textId="77777777" w:rsidTr="001C3C6E">
        <w:tc>
          <w:tcPr>
            <w:tcW w:w="1250" w:type="dxa"/>
          </w:tcPr>
          <w:p w14:paraId="55D0819F" w14:textId="77777777" w:rsidR="00F02300" w:rsidRPr="00661B5F" w:rsidRDefault="00F02300" w:rsidP="00F02300">
            <w:pPr>
              <w:pStyle w:val="BodyText"/>
              <w:numPr>
                <w:ilvl w:val="0"/>
                <w:numId w:val="22"/>
              </w:numPr>
            </w:pPr>
          </w:p>
        </w:tc>
        <w:tc>
          <w:tcPr>
            <w:tcW w:w="2588" w:type="dxa"/>
          </w:tcPr>
          <w:p w14:paraId="177CF4B3" w14:textId="75484187" w:rsidR="00F02300" w:rsidRPr="00FE1620" w:rsidRDefault="00F02300" w:rsidP="00F02300">
            <w:pPr>
              <w:pStyle w:val="BodyText"/>
            </w:pPr>
            <w:r>
              <w:t>14.4</w:t>
            </w:r>
          </w:p>
          <w:p w14:paraId="3B098F66" w14:textId="2FC435BE" w:rsidR="00F02300" w:rsidRPr="00FE1620" w:rsidRDefault="00F02300" w:rsidP="00F02300">
            <w:pPr>
              <w:pStyle w:val="BodyText"/>
            </w:pPr>
            <w:r w:rsidRPr="00FE1620">
              <w:t>(Liability – health and safety)</w:t>
            </w:r>
          </w:p>
        </w:tc>
        <w:tc>
          <w:tcPr>
            <w:tcW w:w="5178" w:type="dxa"/>
          </w:tcPr>
          <w:p w14:paraId="31F4E3FE" w14:textId="35DF6316" w:rsidR="00F02300" w:rsidRDefault="00F02300" w:rsidP="00F02300">
            <w:pPr>
              <w:pStyle w:val="BodyText"/>
            </w:pPr>
            <w:r w:rsidRPr="00CD127A">
              <w:t xml:space="preserve">Please refer to </w:t>
            </w:r>
            <w:hyperlink r:id="rId49" w:history="1">
              <w:r w:rsidR="00C02AA5" w:rsidRPr="00A96C2B">
                <w:rPr>
                  <w:rStyle w:val="Hyperlink"/>
                  <w:color w:val="36BEAE" w:themeColor="text2"/>
                </w:rPr>
                <w:t xml:space="preserve">REC </w:t>
              </w:r>
              <w:proofErr w:type="spellStart"/>
              <w:r w:rsidR="00C02AA5" w:rsidRPr="00A96C2B">
                <w:rPr>
                  <w:rStyle w:val="Hyperlink"/>
                  <w:color w:val="36BEAE" w:themeColor="text2"/>
                </w:rPr>
                <w:t>AWR</w:t>
              </w:r>
              <w:proofErr w:type="spellEnd"/>
              <w:r w:rsidR="00C02AA5" w:rsidRPr="00A96C2B">
                <w:rPr>
                  <w:rStyle w:val="Hyperlink"/>
                  <w:color w:val="36BEAE" w:themeColor="text2"/>
                </w:rPr>
                <w:t xml:space="preserve"> Factsheet 6</w:t>
              </w:r>
            </w:hyperlink>
            <w:r w:rsidR="00C02AA5" w:rsidRPr="00CD127A">
              <w:t xml:space="preserve"> </w:t>
            </w:r>
            <w:r w:rsidRPr="00CD127A">
              <w:t xml:space="preserve"> for information on the rights under the </w:t>
            </w:r>
            <w:proofErr w:type="spellStart"/>
            <w:r w:rsidRPr="00CD127A">
              <w:t>AWR</w:t>
            </w:r>
            <w:proofErr w:type="spellEnd"/>
            <w:r w:rsidRPr="00CD127A">
              <w:t xml:space="preserve"> of pregnant </w:t>
            </w:r>
            <w:r>
              <w:t>Agency Worker</w:t>
            </w:r>
            <w:r w:rsidRPr="00CD127A">
              <w:t xml:space="preserve">s and those who are new mothers or who are breastfeeding after they have completed the 12-week qualifying period. These rights include paid time off to attend ante-natal medical appointments and ante-natal classes; the right to be offered suitable alternative work (paid at the same rate as the original assignment) by you if the hirer cannot make reasonable adjustments and the </w:t>
            </w:r>
            <w:r>
              <w:t>Agency Worker</w:t>
            </w:r>
            <w:r w:rsidRPr="00CD127A">
              <w:t xml:space="preserve"> cannot complete the original assignment for health and safety reasons; and the right to be paid by you for the remaining duration of the original assignment if you cannot find suitable alternative work. </w:t>
            </w:r>
          </w:p>
          <w:p w14:paraId="68E51859" w14:textId="77777777" w:rsidR="00F02300" w:rsidRDefault="00F02300" w:rsidP="00F02300">
            <w:pPr>
              <w:pStyle w:val="BodyText"/>
            </w:pPr>
          </w:p>
          <w:p w14:paraId="154E9524" w14:textId="5C53B942" w:rsidR="00F02300" w:rsidRPr="00CD127A" w:rsidRDefault="00F02300" w:rsidP="00F02300">
            <w:pPr>
              <w:pStyle w:val="BodyText"/>
            </w:pPr>
            <w:r w:rsidRPr="00CD127A">
              <w:t xml:space="preserve">Note the potential financial impact on your business if an </w:t>
            </w:r>
            <w:r>
              <w:t>Agency Worker</w:t>
            </w:r>
            <w:r w:rsidRPr="00CD127A">
              <w:t xml:space="preserve"> cannot complete an assignment for health and safety reasons and you cannot find suitable alternative work for the </w:t>
            </w:r>
            <w:r>
              <w:t>Agency Worker</w:t>
            </w:r>
            <w:r w:rsidRPr="00CD127A">
              <w:t xml:space="preserve">. The REC considered including a clause under which the hirer has to pay you for the remaining duration of the original assignment in these circumstances (so that you can pay the </w:t>
            </w:r>
            <w:r>
              <w:t>Agency Worker</w:t>
            </w:r>
            <w:r w:rsidRPr="00CD127A">
              <w:t xml:space="preserve">), but concluded that hirers are unlikely to agree to such a clause. However, the REC </w:t>
            </w:r>
            <w:r w:rsidRPr="00CD127A">
              <w:lastRenderedPageBreak/>
              <w:t>recommends that you consider trying to negotiate this kind of clause into the contract.</w:t>
            </w:r>
          </w:p>
          <w:p w14:paraId="02BC34C3" w14:textId="77777777" w:rsidR="00F02300" w:rsidRPr="00CD127A" w:rsidRDefault="00F02300" w:rsidP="00F02300">
            <w:pPr>
              <w:pStyle w:val="BodyText"/>
            </w:pPr>
          </w:p>
          <w:p w14:paraId="78CEFF56" w14:textId="28469CA8" w:rsidR="00F02300" w:rsidRPr="00A32CC0" w:rsidRDefault="00F02300" w:rsidP="00F02300">
            <w:pPr>
              <w:pStyle w:val="BodyText"/>
              <w:rPr>
                <w:b/>
                <w:bCs/>
              </w:rPr>
            </w:pPr>
            <w:r w:rsidRPr="00A32CC0">
              <w:rPr>
                <w:b/>
                <w:bCs/>
              </w:rPr>
              <w:t>Please be aware of, and do not accept, any potentially discriminatory instructions from hirers re the supply of female workers or pregnant Agency Workers. Such instructions could leave you open to sex</w:t>
            </w:r>
            <w:r w:rsidR="0080216D">
              <w:rPr>
                <w:b/>
                <w:bCs/>
              </w:rPr>
              <w:t xml:space="preserve">, pregnancy and maternity </w:t>
            </w:r>
            <w:r w:rsidRPr="00A32CC0">
              <w:rPr>
                <w:b/>
                <w:bCs/>
              </w:rPr>
              <w:t xml:space="preserve">discrimination claims under existing anti-discrimination legislation.  </w:t>
            </w:r>
          </w:p>
        </w:tc>
      </w:tr>
      <w:tr w:rsidR="00F02300" w14:paraId="448589A7" w14:textId="77777777" w:rsidTr="001C3C6E">
        <w:tc>
          <w:tcPr>
            <w:tcW w:w="1250" w:type="dxa"/>
          </w:tcPr>
          <w:p w14:paraId="2949DD3D" w14:textId="77777777" w:rsidR="00F02300" w:rsidRPr="00661B5F" w:rsidRDefault="00F02300" w:rsidP="00F02300">
            <w:pPr>
              <w:pStyle w:val="BodyText"/>
              <w:numPr>
                <w:ilvl w:val="0"/>
                <w:numId w:val="22"/>
              </w:numPr>
            </w:pPr>
          </w:p>
        </w:tc>
        <w:tc>
          <w:tcPr>
            <w:tcW w:w="2588" w:type="dxa"/>
          </w:tcPr>
          <w:p w14:paraId="11B92642" w14:textId="20BCD96D" w:rsidR="00F02300" w:rsidRPr="00FE1620" w:rsidRDefault="00F02300" w:rsidP="00F02300">
            <w:pPr>
              <w:pStyle w:val="BodyText"/>
            </w:pPr>
            <w:r w:rsidRPr="00FE1620">
              <w:rPr>
                <w:bCs/>
              </w:rPr>
              <w:t xml:space="preserve">17 (Third party rights) and 18 (Governing </w:t>
            </w:r>
            <w:r>
              <w:rPr>
                <w:bCs/>
              </w:rPr>
              <w:t>L</w:t>
            </w:r>
            <w:r w:rsidRPr="00FE1620">
              <w:rPr>
                <w:bCs/>
              </w:rPr>
              <w:t>aw)</w:t>
            </w:r>
          </w:p>
        </w:tc>
        <w:tc>
          <w:tcPr>
            <w:tcW w:w="5178" w:type="dxa"/>
          </w:tcPr>
          <w:p w14:paraId="4A3F197B" w14:textId="77777777" w:rsidR="005E18CC" w:rsidRPr="00B759E6" w:rsidRDefault="005E18CC" w:rsidP="005E18CC">
            <w:pPr>
              <w:pStyle w:val="BodyText"/>
              <w:rPr>
                <w:snapToGrid w:val="0"/>
              </w:rPr>
            </w:pPr>
            <w:r w:rsidRPr="00B759E6">
              <w:rPr>
                <w:snapToGrid w:val="0"/>
              </w:rPr>
              <w:t xml:space="preserve">The Contracts (Rights of Third Parties) Act 1999 applies in England, Wales and Northern Ireland. </w:t>
            </w:r>
          </w:p>
          <w:p w14:paraId="71C16756" w14:textId="77777777" w:rsidR="005E18CC" w:rsidRPr="00B759E6" w:rsidRDefault="005E18CC" w:rsidP="005E18CC">
            <w:pPr>
              <w:pStyle w:val="BodyText"/>
              <w:rPr>
                <w:snapToGrid w:val="0"/>
              </w:rPr>
            </w:pPr>
          </w:p>
          <w:p w14:paraId="23A63E69" w14:textId="77777777" w:rsidR="005E18CC" w:rsidRPr="00B759E6" w:rsidRDefault="005E18CC" w:rsidP="005E18CC">
            <w:pPr>
              <w:pStyle w:val="BodyText"/>
              <w:rPr>
                <w:lang w:val="en"/>
              </w:rPr>
            </w:pPr>
            <w:r w:rsidRPr="00B759E6">
              <w:rPr>
                <w:snapToGrid w:val="0"/>
              </w:rPr>
              <w:t xml:space="preserve">The </w:t>
            </w:r>
            <w:r w:rsidRPr="00B759E6">
              <w:rPr>
                <w:lang w:val="en"/>
              </w:rPr>
              <w:t>Contracts (Rights of Third Parties) Act (Scotland) 2017 applies In Scotland only.</w:t>
            </w:r>
          </w:p>
          <w:p w14:paraId="3BB518D6" w14:textId="77777777" w:rsidR="005E18CC" w:rsidRPr="00B759E6" w:rsidRDefault="005E18CC" w:rsidP="005E18CC">
            <w:pPr>
              <w:pStyle w:val="BodyText"/>
              <w:rPr>
                <w:lang w:val="en"/>
              </w:rPr>
            </w:pPr>
          </w:p>
          <w:p w14:paraId="06FD7531" w14:textId="1FF74C9C" w:rsidR="00F02300" w:rsidRPr="00B759E6" w:rsidRDefault="006A0F2C" w:rsidP="00F02300">
            <w:pPr>
              <w:pStyle w:val="BodyText"/>
            </w:pPr>
            <w:r>
              <w:t>In clauses 17 and 18 d</w:t>
            </w:r>
            <w:r w:rsidR="005E18CC" w:rsidRPr="00B759E6">
              <w:t>elete as appropriate to your main jurisdiction.</w:t>
            </w:r>
          </w:p>
        </w:tc>
      </w:tr>
      <w:tr w:rsidR="00F02300" w14:paraId="7041C022" w14:textId="77777777" w:rsidTr="001C3C6E">
        <w:tc>
          <w:tcPr>
            <w:tcW w:w="1250" w:type="dxa"/>
          </w:tcPr>
          <w:p w14:paraId="392EF3C0" w14:textId="77777777" w:rsidR="00F02300" w:rsidRPr="00661B5F" w:rsidRDefault="00F02300" w:rsidP="00F02300">
            <w:pPr>
              <w:pStyle w:val="BodyText"/>
              <w:numPr>
                <w:ilvl w:val="0"/>
                <w:numId w:val="22"/>
              </w:numPr>
            </w:pPr>
          </w:p>
        </w:tc>
        <w:tc>
          <w:tcPr>
            <w:tcW w:w="2588" w:type="dxa"/>
          </w:tcPr>
          <w:p w14:paraId="5949D102" w14:textId="07B6AC09" w:rsidR="00F02300" w:rsidRPr="00FE1620" w:rsidRDefault="00F02300" w:rsidP="00F02300">
            <w:pPr>
              <w:pStyle w:val="BodyText"/>
            </w:pPr>
            <w:r w:rsidRPr="00FE1620">
              <w:rPr>
                <w:bCs/>
              </w:rPr>
              <w:t>Signature clause</w:t>
            </w:r>
          </w:p>
        </w:tc>
        <w:tc>
          <w:tcPr>
            <w:tcW w:w="5178" w:type="dxa"/>
          </w:tcPr>
          <w:p w14:paraId="05F292F0" w14:textId="5017F764" w:rsidR="00F02300" w:rsidRPr="00CD127A" w:rsidRDefault="00F02300" w:rsidP="00F02300">
            <w:pPr>
              <w:pStyle w:val="BodyText"/>
              <w:rPr>
                <w:bCs/>
              </w:rPr>
            </w:pPr>
            <w:r w:rsidRPr="00CD127A">
              <w:rPr>
                <w:bCs/>
                <w:iCs/>
              </w:rPr>
              <w:t>The REC Code of Professional Practice requires members to agree terms with clients</w:t>
            </w:r>
            <w:r>
              <w:rPr>
                <w:bCs/>
                <w:iCs/>
              </w:rPr>
              <w:t xml:space="preserve"> before you provide services to them. </w:t>
            </w:r>
            <w:r>
              <w:rPr>
                <w:bCs/>
              </w:rPr>
              <w:t xml:space="preserve">We </w:t>
            </w:r>
            <w:r w:rsidRPr="00CD127A">
              <w:rPr>
                <w:bCs/>
              </w:rPr>
              <w:t xml:space="preserve">recommend that </w:t>
            </w:r>
            <w:r>
              <w:rPr>
                <w:bCs/>
              </w:rPr>
              <w:t xml:space="preserve">you send </w:t>
            </w:r>
            <w:r w:rsidRPr="00CD127A">
              <w:rPr>
                <w:bCs/>
              </w:rPr>
              <w:t xml:space="preserve">this Agreement </w:t>
            </w:r>
            <w:r>
              <w:rPr>
                <w:bCs/>
              </w:rPr>
              <w:t>by email (using "read receipt" or</w:t>
            </w:r>
            <w:r w:rsidRPr="00CD127A">
              <w:rPr>
                <w:bCs/>
              </w:rPr>
              <w:t xml:space="preserve"> by registered post</w:t>
            </w:r>
            <w:r w:rsidR="00B04FF8">
              <w:rPr>
                <w:bCs/>
              </w:rPr>
              <w:t>)</w:t>
            </w:r>
            <w:r>
              <w:rPr>
                <w:bCs/>
              </w:rPr>
              <w:t xml:space="preserve">. Keep </w:t>
            </w:r>
            <w:r w:rsidRPr="00CD127A">
              <w:rPr>
                <w:bCs/>
              </w:rPr>
              <w:t>a record</w:t>
            </w:r>
            <w:r>
              <w:rPr>
                <w:bCs/>
              </w:rPr>
              <w:t xml:space="preserve"> of what you send, </w:t>
            </w:r>
            <w:r w:rsidRPr="00CD127A">
              <w:rPr>
                <w:bCs/>
              </w:rPr>
              <w:t xml:space="preserve">with a copy of any confirmation that the email has been read or </w:t>
            </w:r>
            <w:r>
              <w:rPr>
                <w:bCs/>
              </w:rPr>
              <w:t xml:space="preserve">terms received. if you do not get such confirmation, call the client to confirm they received them and agree the terms. Encourage them to come back to you by email or in writing </w:t>
            </w:r>
            <w:r w:rsidRPr="00FE1620">
              <w:rPr>
                <w:bCs/>
              </w:rPr>
              <w:t>–</w:t>
            </w:r>
            <w:r>
              <w:rPr>
                <w:bCs/>
              </w:rPr>
              <w:t xml:space="preserve"> keep a note of </w:t>
            </w:r>
            <w:r w:rsidRPr="00CD127A">
              <w:rPr>
                <w:bCs/>
              </w:rPr>
              <w:t>the person you spoke with including the date and time of the conversation.</w:t>
            </w:r>
          </w:p>
          <w:p w14:paraId="45FBC778" w14:textId="77777777" w:rsidR="00F02300" w:rsidRPr="00CD127A" w:rsidRDefault="00F02300" w:rsidP="00F02300">
            <w:pPr>
              <w:pStyle w:val="BodyText"/>
              <w:rPr>
                <w:bCs/>
              </w:rPr>
            </w:pPr>
          </w:p>
          <w:p w14:paraId="67202EF7" w14:textId="65C0FACB" w:rsidR="00F02300" w:rsidRPr="00CD127A" w:rsidRDefault="00F02300" w:rsidP="00F02300">
            <w:pPr>
              <w:pStyle w:val="BodyText"/>
              <w:rPr>
                <w:bCs/>
              </w:rPr>
            </w:pPr>
            <w:r w:rsidRPr="00CD127A">
              <w:rPr>
                <w:bCs/>
              </w:rPr>
              <w:t xml:space="preserve">Proof that a </w:t>
            </w:r>
            <w:r>
              <w:rPr>
                <w:bCs/>
              </w:rPr>
              <w:t>c</w:t>
            </w:r>
            <w:r w:rsidRPr="00CD127A">
              <w:rPr>
                <w:bCs/>
              </w:rPr>
              <w:t xml:space="preserve">lient has received and agreed terms is important for </w:t>
            </w:r>
            <w:r w:rsidR="0080216D" w:rsidRPr="00CD127A">
              <w:rPr>
                <w:bCs/>
              </w:rPr>
              <w:t>several</w:t>
            </w:r>
            <w:r w:rsidRPr="00CD127A">
              <w:rPr>
                <w:bCs/>
              </w:rPr>
              <w:t xml:space="preserve"> reasons, not least the requirement of the Conduct Regulations that you agree terms before providing work-finding services. For example, </w:t>
            </w:r>
            <w:r w:rsidR="0080216D" w:rsidRPr="00CD127A">
              <w:rPr>
                <w:bCs/>
              </w:rPr>
              <w:t>to</w:t>
            </w:r>
            <w:r w:rsidRPr="00CD127A">
              <w:rPr>
                <w:bCs/>
              </w:rPr>
              <w:t xml:space="preserve"> claim a Transfer Fee you </w:t>
            </w:r>
            <w:r w:rsidR="00631D75">
              <w:rPr>
                <w:bCs/>
              </w:rPr>
              <w:t xml:space="preserve">must be able to show </w:t>
            </w:r>
            <w:r w:rsidRPr="00CD127A">
              <w:rPr>
                <w:bCs/>
              </w:rPr>
              <w:t xml:space="preserve">that the </w:t>
            </w:r>
            <w:r>
              <w:rPr>
                <w:bCs/>
              </w:rPr>
              <w:t>c</w:t>
            </w:r>
            <w:r w:rsidRPr="00CD127A">
              <w:rPr>
                <w:bCs/>
              </w:rPr>
              <w:t xml:space="preserve">lient has accepted this Agreement and that your agency is the effective cause of the Engagement. </w:t>
            </w:r>
          </w:p>
          <w:p w14:paraId="58B6BAE8" w14:textId="77777777" w:rsidR="00F02300" w:rsidRPr="00CD127A" w:rsidRDefault="00F02300" w:rsidP="00F02300">
            <w:pPr>
              <w:pStyle w:val="BodyText"/>
              <w:rPr>
                <w:bCs/>
              </w:rPr>
            </w:pPr>
          </w:p>
          <w:p w14:paraId="7FE4313C" w14:textId="5027737D" w:rsidR="00F02300" w:rsidRPr="00C12072" w:rsidRDefault="00F02300" w:rsidP="00F02300">
            <w:pPr>
              <w:pStyle w:val="BodyText"/>
            </w:pPr>
            <w:r w:rsidRPr="00CD127A">
              <w:rPr>
                <w:bCs/>
                <w:iCs/>
              </w:rPr>
              <w:t xml:space="preserve">A signature from someone employed by the </w:t>
            </w:r>
            <w:r>
              <w:rPr>
                <w:bCs/>
                <w:iCs/>
              </w:rPr>
              <w:t>c</w:t>
            </w:r>
            <w:r w:rsidRPr="00CD127A">
              <w:rPr>
                <w:bCs/>
                <w:iCs/>
              </w:rPr>
              <w:t xml:space="preserve">lient who </w:t>
            </w:r>
            <w:r w:rsidR="0080216D" w:rsidRPr="00CD127A">
              <w:rPr>
                <w:bCs/>
                <w:iCs/>
              </w:rPr>
              <w:t>can agree</w:t>
            </w:r>
            <w:r w:rsidRPr="00CD127A">
              <w:rPr>
                <w:bCs/>
                <w:iCs/>
              </w:rPr>
              <w:t xml:space="preserve"> to your terms is evidence of the fact that the </w:t>
            </w:r>
            <w:r>
              <w:rPr>
                <w:bCs/>
                <w:iCs/>
              </w:rPr>
              <w:t>c</w:t>
            </w:r>
            <w:r w:rsidRPr="00CD127A">
              <w:rPr>
                <w:bCs/>
                <w:iCs/>
              </w:rPr>
              <w:t xml:space="preserve">lient has received and agreed them. </w:t>
            </w:r>
            <w:r w:rsidRPr="00CD127A">
              <w:rPr>
                <w:bCs/>
              </w:rPr>
              <w:t xml:space="preserve">It is also important that the individual signing the Agreement on behalf of the </w:t>
            </w:r>
            <w:r>
              <w:rPr>
                <w:bCs/>
              </w:rPr>
              <w:t>cl</w:t>
            </w:r>
            <w:r w:rsidRPr="00CD127A">
              <w:rPr>
                <w:bCs/>
              </w:rPr>
              <w:t xml:space="preserve">ient has the authority to do so on behalf of the </w:t>
            </w:r>
            <w:r>
              <w:rPr>
                <w:bCs/>
              </w:rPr>
              <w:t>c</w:t>
            </w:r>
            <w:r w:rsidRPr="00CD127A">
              <w:rPr>
                <w:bCs/>
              </w:rPr>
              <w:t xml:space="preserve">lient. </w:t>
            </w:r>
          </w:p>
        </w:tc>
      </w:tr>
      <w:tr w:rsidR="00F02300" w14:paraId="17A9A5C6" w14:textId="77777777" w:rsidTr="001C3C6E">
        <w:tc>
          <w:tcPr>
            <w:tcW w:w="1250" w:type="dxa"/>
          </w:tcPr>
          <w:p w14:paraId="527D177D" w14:textId="77777777" w:rsidR="00F02300" w:rsidRPr="00661B5F" w:rsidRDefault="00F02300" w:rsidP="00F02300">
            <w:pPr>
              <w:pStyle w:val="BodyText"/>
              <w:numPr>
                <w:ilvl w:val="0"/>
                <w:numId w:val="22"/>
              </w:numPr>
            </w:pPr>
          </w:p>
        </w:tc>
        <w:tc>
          <w:tcPr>
            <w:tcW w:w="2588" w:type="dxa"/>
          </w:tcPr>
          <w:p w14:paraId="23FAFD83" w14:textId="62765D1A" w:rsidR="00F02300" w:rsidRPr="00661B5F" w:rsidRDefault="00F02300" w:rsidP="00F02300">
            <w:pPr>
              <w:pStyle w:val="BodyText"/>
            </w:pPr>
            <w:r>
              <w:rPr>
                <w:bCs/>
              </w:rPr>
              <w:t>Schedule 1: Charges</w:t>
            </w:r>
          </w:p>
        </w:tc>
        <w:tc>
          <w:tcPr>
            <w:tcW w:w="5178" w:type="dxa"/>
          </w:tcPr>
          <w:p w14:paraId="6EDC6207" w14:textId="55E9006F" w:rsidR="00F02300" w:rsidRPr="00C12072" w:rsidRDefault="00F02300" w:rsidP="00F02300">
            <w:pPr>
              <w:pStyle w:val="BodyText"/>
            </w:pPr>
            <w:r>
              <w:rPr>
                <w:bCs/>
                <w:iCs/>
              </w:rPr>
              <w:t xml:space="preserve">You must complete this for each client.  Ensure that you include all charges you will make, for all types of resources – PAYE, PSC, umbrella. </w:t>
            </w:r>
            <w:r>
              <w:t xml:space="preserve">                                           </w:t>
            </w:r>
          </w:p>
        </w:tc>
      </w:tr>
      <w:tr w:rsidR="00F02300" w14:paraId="422D8462" w14:textId="77777777" w:rsidTr="001C3C6E">
        <w:tc>
          <w:tcPr>
            <w:tcW w:w="1250" w:type="dxa"/>
          </w:tcPr>
          <w:p w14:paraId="03B9FA3E" w14:textId="77777777" w:rsidR="00F02300" w:rsidRPr="00661B5F" w:rsidRDefault="00F02300" w:rsidP="00F02300">
            <w:pPr>
              <w:pStyle w:val="BodyText"/>
              <w:numPr>
                <w:ilvl w:val="0"/>
                <w:numId w:val="22"/>
              </w:numPr>
            </w:pPr>
          </w:p>
        </w:tc>
        <w:tc>
          <w:tcPr>
            <w:tcW w:w="2588" w:type="dxa"/>
          </w:tcPr>
          <w:p w14:paraId="10C1E0C9" w14:textId="6B6E8C41" w:rsidR="00F02300" w:rsidRPr="00FE1620" w:rsidRDefault="00F02300" w:rsidP="00F02300">
            <w:pPr>
              <w:pStyle w:val="BodyText"/>
            </w:pPr>
            <w:r w:rsidRPr="00FE1620">
              <w:rPr>
                <w:bCs/>
              </w:rPr>
              <w:t>Schedule 2:</w:t>
            </w:r>
            <w:r>
              <w:rPr>
                <w:bCs/>
              </w:rPr>
              <w:t xml:space="preserve"> </w:t>
            </w:r>
            <w:r w:rsidRPr="00FE1620">
              <w:rPr>
                <w:bCs/>
              </w:rPr>
              <w:t>Transfer Fees</w:t>
            </w:r>
          </w:p>
        </w:tc>
        <w:tc>
          <w:tcPr>
            <w:tcW w:w="5178" w:type="dxa"/>
          </w:tcPr>
          <w:p w14:paraId="209482BE" w14:textId="7BEEC4D6" w:rsidR="00F02300" w:rsidRPr="00FE1620" w:rsidRDefault="00F02300" w:rsidP="00F02300">
            <w:pPr>
              <w:pStyle w:val="BodyText"/>
              <w:rPr>
                <w:bCs/>
                <w:color w:val="002060"/>
              </w:rPr>
            </w:pPr>
            <w:r w:rsidRPr="00CD127A">
              <w:rPr>
                <w:bCs/>
              </w:rPr>
              <w:t xml:space="preserve">The purpose of the Transfer Fee and the Period of Extended Hire is to compensate you for any loss you </w:t>
            </w:r>
            <w:r w:rsidRPr="00CD127A">
              <w:rPr>
                <w:bCs/>
              </w:rPr>
              <w:lastRenderedPageBreak/>
              <w:t xml:space="preserve">may suffer </w:t>
            </w:r>
            <w:r w:rsidR="00910EBF" w:rsidRPr="00CD127A">
              <w:rPr>
                <w:bCs/>
              </w:rPr>
              <w:t>because of</w:t>
            </w:r>
            <w:r w:rsidRPr="00CD127A">
              <w:rPr>
                <w:bCs/>
              </w:rPr>
              <w:t xml:space="preserve"> the Engagement of a Temporary </w:t>
            </w:r>
            <w:r>
              <w:rPr>
                <w:bCs/>
              </w:rPr>
              <w:t>Resource</w:t>
            </w:r>
            <w:r w:rsidRPr="00CD127A">
              <w:rPr>
                <w:bCs/>
              </w:rPr>
              <w:t xml:space="preserve"> by the </w:t>
            </w:r>
            <w:r>
              <w:rPr>
                <w:bCs/>
              </w:rPr>
              <w:t>c</w:t>
            </w:r>
            <w:r w:rsidRPr="00CD127A">
              <w:rPr>
                <w:bCs/>
              </w:rPr>
              <w:t xml:space="preserve">lient other than </w:t>
            </w:r>
            <w:r w:rsidR="00631D75">
              <w:rPr>
                <w:bCs/>
              </w:rPr>
              <w:t>through</w:t>
            </w:r>
            <w:r w:rsidRPr="00CD127A">
              <w:rPr>
                <w:bCs/>
              </w:rPr>
              <w:t xml:space="preserve"> you. The loss may be your permanent introduction fee; or it may be your margin charged over the length of a typical </w:t>
            </w:r>
            <w:r>
              <w:rPr>
                <w:bCs/>
              </w:rPr>
              <w:t>a</w:t>
            </w:r>
            <w:r w:rsidRPr="00CD127A">
              <w:rPr>
                <w:bCs/>
              </w:rPr>
              <w:t>ssignment</w:t>
            </w:r>
            <w:r>
              <w:rPr>
                <w:bCs/>
              </w:rPr>
              <w:t>,</w:t>
            </w:r>
            <w:r w:rsidRPr="00CD127A">
              <w:rPr>
                <w:bCs/>
              </w:rPr>
              <w:t xml:space="preserve"> or the margin fees that would have been charged over the balance of the </w:t>
            </w:r>
            <w:r>
              <w:rPr>
                <w:bCs/>
              </w:rPr>
              <w:t>a</w:t>
            </w:r>
            <w:r w:rsidRPr="00CD127A">
              <w:rPr>
                <w:bCs/>
              </w:rPr>
              <w:t xml:space="preserve">ssignment where the </w:t>
            </w:r>
            <w:r>
              <w:rPr>
                <w:bCs/>
              </w:rPr>
              <w:t>c</w:t>
            </w:r>
            <w:r w:rsidRPr="00CD127A">
              <w:rPr>
                <w:bCs/>
              </w:rPr>
              <w:t xml:space="preserve">lient brings it to an end earlier than agreed in order to directly engage a Temporary Resource. For example, if a Temporary Resource is engaged directly by the </w:t>
            </w:r>
            <w:r>
              <w:rPr>
                <w:bCs/>
              </w:rPr>
              <w:t>c</w:t>
            </w:r>
            <w:r w:rsidRPr="00CD127A">
              <w:rPr>
                <w:bCs/>
              </w:rPr>
              <w:t xml:space="preserve">lient for a fixed period of a few weeks, the loss of business would be the margin you would have charged the </w:t>
            </w:r>
            <w:r>
              <w:rPr>
                <w:bCs/>
              </w:rPr>
              <w:t>c</w:t>
            </w:r>
            <w:r w:rsidRPr="00CD127A">
              <w:rPr>
                <w:bCs/>
              </w:rPr>
              <w:t xml:space="preserve">lient over that period. In those circumstances it may be excessive to charge your full permanent introduction fee based on 12 months’ salary. </w:t>
            </w:r>
            <w:r w:rsidR="00A27521">
              <w:rPr>
                <w:bCs/>
              </w:rPr>
              <w:t>But</w:t>
            </w:r>
            <w:r w:rsidRPr="00CD127A">
              <w:rPr>
                <w:bCs/>
              </w:rPr>
              <w:t xml:space="preserve"> if the Engagement is on a permanent basis then this may be more acceptable. </w:t>
            </w:r>
            <w:r w:rsidRPr="00FE1620">
              <w:rPr>
                <w:bCs/>
                <w:iCs/>
                <w:color w:val="002060"/>
              </w:rPr>
              <w:t xml:space="preserve">The REC Legal Team cannot confirm what would </w:t>
            </w:r>
            <w:r w:rsidR="00A27521">
              <w:rPr>
                <w:bCs/>
                <w:iCs/>
                <w:color w:val="002060"/>
              </w:rPr>
              <w:t>be</w:t>
            </w:r>
            <w:r w:rsidRPr="00FE1620">
              <w:rPr>
                <w:bCs/>
                <w:iCs/>
                <w:color w:val="002060"/>
              </w:rPr>
              <w:t xml:space="preserve"> a reasonable fee</w:t>
            </w:r>
            <w:r w:rsidRPr="00FE1620">
              <w:rPr>
                <w:bCs/>
                <w:color w:val="002060"/>
              </w:rPr>
              <w:t xml:space="preserve"> but excessive transfer fees may be deemed to be a penalty and thus unenforceable. </w:t>
            </w:r>
          </w:p>
          <w:p w14:paraId="7C687987" w14:textId="77777777" w:rsidR="00F02300" w:rsidRPr="00CD127A" w:rsidRDefault="00F02300" w:rsidP="00F02300">
            <w:pPr>
              <w:pStyle w:val="BodyText"/>
              <w:rPr>
                <w:bCs/>
              </w:rPr>
            </w:pPr>
          </w:p>
          <w:p w14:paraId="4F0B2D53" w14:textId="4F2A83E9" w:rsidR="00F02300" w:rsidRPr="00CD127A" w:rsidRDefault="00F02300" w:rsidP="00F02300">
            <w:pPr>
              <w:pStyle w:val="BodyText"/>
              <w:rPr>
                <w:bCs/>
                <w:iCs/>
              </w:rPr>
            </w:pPr>
            <w:r w:rsidRPr="00CD127A">
              <w:rPr>
                <w:bCs/>
                <w:iCs/>
              </w:rPr>
              <w:t>You should insert a figure which when multiplied by the relevant charge rate results in a reasonable fee to compensate you for the loss of your ability to earn your margin</w:t>
            </w:r>
            <w:r>
              <w:rPr>
                <w:bCs/>
                <w:iCs/>
              </w:rPr>
              <w:t xml:space="preserve">. </w:t>
            </w:r>
          </w:p>
          <w:p w14:paraId="7AD69799" w14:textId="77777777" w:rsidR="00F02300" w:rsidRPr="00CD127A" w:rsidRDefault="00F02300" w:rsidP="00F02300">
            <w:pPr>
              <w:pStyle w:val="BodyText"/>
              <w:rPr>
                <w:bCs/>
                <w:iCs/>
              </w:rPr>
            </w:pPr>
          </w:p>
          <w:p w14:paraId="78D944B3" w14:textId="32541C69" w:rsidR="00F02300" w:rsidRPr="00C12072" w:rsidRDefault="00F02300" w:rsidP="00F02300">
            <w:pPr>
              <w:pStyle w:val="BodyText"/>
            </w:pPr>
            <w:r w:rsidRPr="00CD127A">
              <w:rPr>
                <w:bCs/>
                <w:iCs/>
              </w:rPr>
              <w:t xml:space="preserve">If the engagement is on a permanent basis then it may be reasonable to charge a fee which </w:t>
            </w:r>
            <w:r>
              <w:rPr>
                <w:bCs/>
                <w:iCs/>
              </w:rPr>
              <w:t xml:space="preserve">would </w:t>
            </w:r>
            <w:r w:rsidR="00A27521">
              <w:rPr>
                <w:bCs/>
                <w:iCs/>
              </w:rPr>
              <w:t xml:space="preserve">be </w:t>
            </w:r>
            <w:r>
              <w:rPr>
                <w:bCs/>
                <w:iCs/>
              </w:rPr>
              <w:t xml:space="preserve">equal </w:t>
            </w:r>
            <w:r w:rsidR="00A27521">
              <w:rPr>
                <w:bCs/>
                <w:iCs/>
              </w:rPr>
              <w:t xml:space="preserve">to </w:t>
            </w:r>
            <w:r w:rsidRPr="00CD127A">
              <w:rPr>
                <w:bCs/>
                <w:iCs/>
              </w:rPr>
              <w:t>your permanent introduction fee.</w:t>
            </w:r>
            <w:r w:rsidR="00287AEF">
              <w:rPr>
                <w:bCs/>
                <w:iCs/>
              </w:rPr>
              <w:t xml:space="preserve"> But</w:t>
            </w:r>
            <w:r w:rsidRPr="00CD127A">
              <w:rPr>
                <w:bCs/>
                <w:iCs/>
              </w:rPr>
              <w:t xml:space="preserve"> if the engagement is on a temporary basis then it may only be reasonable to charge the pro rata fee for that period. </w:t>
            </w:r>
          </w:p>
        </w:tc>
      </w:tr>
      <w:tr w:rsidR="00F02300" w14:paraId="3BA88F53" w14:textId="77777777" w:rsidTr="001C3C6E">
        <w:tc>
          <w:tcPr>
            <w:tcW w:w="1250" w:type="dxa"/>
          </w:tcPr>
          <w:p w14:paraId="0D34CB0D" w14:textId="77777777" w:rsidR="00F02300" w:rsidRPr="00661B5F" w:rsidRDefault="00F02300" w:rsidP="00F02300">
            <w:pPr>
              <w:pStyle w:val="BodyText"/>
              <w:numPr>
                <w:ilvl w:val="0"/>
                <w:numId w:val="22"/>
              </w:numPr>
            </w:pPr>
          </w:p>
        </w:tc>
        <w:tc>
          <w:tcPr>
            <w:tcW w:w="2588" w:type="dxa"/>
          </w:tcPr>
          <w:p w14:paraId="3D5E638D" w14:textId="23B4091B" w:rsidR="00F02300" w:rsidRPr="00FE1620" w:rsidRDefault="00F02300" w:rsidP="00F02300">
            <w:pPr>
              <w:pStyle w:val="BodyText"/>
            </w:pPr>
            <w:r w:rsidRPr="00FE1620">
              <w:rPr>
                <w:bCs/>
              </w:rPr>
              <w:t>Schedule 2:</w:t>
            </w:r>
            <w:r>
              <w:rPr>
                <w:bCs/>
              </w:rPr>
              <w:t xml:space="preserve"> </w:t>
            </w:r>
            <w:r w:rsidRPr="00FE1620">
              <w:rPr>
                <w:bCs/>
              </w:rPr>
              <w:t>Transfer Fees</w:t>
            </w:r>
          </w:p>
        </w:tc>
        <w:tc>
          <w:tcPr>
            <w:tcW w:w="5178" w:type="dxa"/>
          </w:tcPr>
          <w:p w14:paraId="60F085C2" w14:textId="031A4B87" w:rsidR="00F02300" w:rsidRPr="00CD127A" w:rsidRDefault="00F02300" w:rsidP="00F02300">
            <w:pPr>
              <w:pStyle w:val="BodyText"/>
              <w:rPr>
                <w:bCs/>
              </w:rPr>
            </w:pPr>
            <w:r w:rsidRPr="00CD127A">
              <w:rPr>
                <w:bCs/>
              </w:rPr>
              <w:t xml:space="preserve">Clause 8 is drafted to ensure that your Transfer Fees </w:t>
            </w:r>
            <w:r>
              <w:rPr>
                <w:bCs/>
              </w:rPr>
              <w:t xml:space="preserve">comply </w:t>
            </w:r>
            <w:r w:rsidRPr="00CD127A">
              <w:rPr>
                <w:bCs/>
              </w:rPr>
              <w:t xml:space="preserve">with Regulation 10 of the Conduct Regulations while protecting your right to claim a fee in various circumstances. </w:t>
            </w:r>
          </w:p>
          <w:p w14:paraId="064848C9" w14:textId="77777777" w:rsidR="00F02300" w:rsidRPr="00CD127A" w:rsidRDefault="00F02300" w:rsidP="00F02300">
            <w:pPr>
              <w:pStyle w:val="BodyText"/>
              <w:rPr>
                <w:bCs/>
              </w:rPr>
            </w:pPr>
          </w:p>
          <w:p w14:paraId="5F30EF41" w14:textId="144F5BFE" w:rsidR="00F02300" w:rsidRPr="00CD127A" w:rsidRDefault="00F02300" w:rsidP="00F02300">
            <w:pPr>
              <w:pStyle w:val="BodyText"/>
              <w:rPr>
                <w:bCs/>
              </w:rPr>
            </w:pPr>
            <w:r w:rsidRPr="00CD127A">
              <w:rPr>
                <w:bCs/>
              </w:rPr>
              <w:t>To</w:t>
            </w:r>
            <w:r w:rsidR="00910EBF">
              <w:rPr>
                <w:bCs/>
              </w:rPr>
              <w:t xml:space="preserve"> </w:t>
            </w:r>
            <w:r w:rsidRPr="00CD127A">
              <w:rPr>
                <w:bCs/>
              </w:rPr>
              <w:t>recover a Transfer Fee under clause 8 you</w:t>
            </w:r>
            <w:r w:rsidR="00910EBF">
              <w:rPr>
                <w:bCs/>
              </w:rPr>
              <w:t xml:space="preserve"> must </w:t>
            </w:r>
            <w:r w:rsidRPr="00CD127A">
              <w:rPr>
                <w:bCs/>
              </w:rPr>
              <w:t>stipulate the amount of the fee and the length of the extended hire period that will apply in the event of an engagement.</w:t>
            </w:r>
            <w:r w:rsidR="00910EBF">
              <w:rPr>
                <w:bCs/>
              </w:rPr>
              <w:t xml:space="preserve"> Y</w:t>
            </w:r>
            <w:r w:rsidRPr="00CD127A">
              <w:rPr>
                <w:bCs/>
              </w:rPr>
              <w:t>ou will need to select one of the three options available in this Schedule and fill in the blanks as appropriate</w:t>
            </w:r>
            <w:r w:rsidRPr="00CD127A">
              <w:rPr>
                <w:bCs/>
                <w:i/>
              </w:rPr>
              <w:t>.</w:t>
            </w:r>
            <w:r>
              <w:rPr>
                <w:bCs/>
                <w:i/>
              </w:rPr>
              <w:t xml:space="preserve"> </w:t>
            </w:r>
          </w:p>
          <w:p w14:paraId="5655C7BE" w14:textId="77777777" w:rsidR="00F02300" w:rsidRPr="00CD127A" w:rsidRDefault="00F02300" w:rsidP="00F02300">
            <w:pPr>
              <w:pStyle w:val="BodyText"/>
              <w:rPr>
                <w:bCs/>
              </w:rPr>
            </w:pPr>
          </w:p>
          <w:p w14:paraId="33DCA535" w14:textId="511FDDDB" w:rsidR="00F02300" w:rsidRPr="00CD127A" w:rsidRDefault="00F02300" w:rsidP="00F02300">
            <w:pPr>
              <w:pStyle w:val="BodyText"/>
              <w:rPr>
                <w:bCs/>
              </w:rPr>
            </w:pPr>
            <w:r w:rsidRPr="00CD127A">
              <w:rPr>
                <w:bCs/>
              </w:rPr>
              <w:t>Choose Option A if you use a fixed Transfer Fee e.g. 10% of the Remuneration or 10 times the weekly Charges, and a fixed Period of Extended Hire</w:t>
            </w:r>
            <w:r>
              <w:rPr>
                <w:bCs/>
              </w:rPr>
              <w:t>,</w:t>
            </w:r>
            <w:r w:rsidRPr="00CD127A">
              <w:rPr>
                <w:bCs/>
              </w:rPr>
              <w:t xml:space="preserve"> e.g. </w:t>
            </w:r>
            <w:r>
              <w:rPr>
                <w:bCs/>
              </w:rPr>
              <w:t>six</w:t>
            </w:r>
            <w:r w:rsidRPr="00CD127A">
              <w:rPr>
                <w:bCs/>
              </w:rPr>
              <w:t xml:space="preserve"> weeks. OR</w:t>
            </w:r>
          </w:p>
          <w:p w14:paraId="32BAAC49" w14:textId="77777777" w:rsidR="00F02300" w:rsidRPr="00CD127A" w:rsidRDefault="00F02300" w:rsidP="00F02300">
            <w:pPr>
              <w:pStyle w:val="BodyText"/>
              <w:rPr>
                <w:bCs/>
              </w:rPr>
            </w:pPr>
          </w:p>
          <w:p w14:paraId="3E7031AE" w14:textId="4388D838" w:rsidR="00F02300" w:rsidRPr="00CD127A" w:rsidRDefault="00F02300" w:rsidP="00F02300">
            <w:pPr>
              <w:pStyle w:val="BodyText"/>
              <w:rPr>
                <w:bCs/>
              </w:rPr>
            </w:pPr>
            <w:r w:rsidRPr="00CD127A">
              <w:rPr>
                <w:bCs/>
              </w:rPr>
              <w:t>Choose Option B if you w</w:t>
            </w:r>
            <w:r w:rsidR="00910EBF">
              <w:rPr>
                <w:bCs/>
              </w:rPr>
              <w:t>ant</w:t>
            </w:r>
            <w:r w:rsidRPr="00CD127A">
              <w:rPr>
                <w:bCs/>
              </w:rPr>
              <w:t xml:space="preserve"> flexibility to negotiate the Transfer Fee and Period of Extended Hire with different Clients. OR</w:t>
            </w:r>
          </w:p>
          <w:p w14:paraId="712EACC9" w14:textId="77777777" w:rsidR="00F02300" w:rsidRPr="00CD127A" w:rsidRDefault="00F02300" w:rsidP="00F02300">
            <w:pPr>
              <w:pStyle w:val="BodyText"/>
              <w:rPr>
                <w:bCs/>
              </w:rPr>
            </w:pPr>
          </w:p>
          <w:p w14:paraId="26A78D49" w14:textId="77777777" w:rsidR="00F02300" w:rsidRPr="00CD127A" w:rsidRDefault="00F02300" w:rsidP="00F02300">
            <w:pPr>
              <w:pStyle w:val="BodyText"/>
              <w:rPr>
                <w:bCs/>
              </w:rPr>
            </w:pPr>
            <w:r w:rsidRPr="00CD127A">
              <w:rPr>
                <w:bCs/>
              </w:rPr>
              <w:lastRenderedPageBreak/>
              <w:t>Choose Option C if you charge a Transfer Fee or conduct a Period of Extended Hire according to a sliding scale of weeks supplied.</w:t>
            </w:r>
          </w:p>
          <w:p w14:paraId="04E40383" w14:textId="77777777" w:rsidR="00F02300" w:rsidRPr="00CD127A" w:rsidRDefault="00F02300" w:rsidP="00F02300">
            <w:pPr>
              <w:pStyle w:val="BodyText"/>
              <w:rPr>
                <w:bCs/>
              </w:rPr>
            </w:pPr>
          </w:p>
          <w:p w14:paraId="1DFE33F5" w14:textId="77777777" w:rsidR="007E5BBC" w:rsidRDefault="00F02300" w:rsidP="00F02300">
            <w:pPr>
              <w:pStyle w:val="BodyText"/>
              <w:rPr>
                <w:bCs/>
              </w:rPr>
            </w:pPr>
            <w:r w:rsidRPr="00CD127A">
              <w:rPr>
                <w:bCs/>
              </w:rPr>
              <w:t>The Period of Extended Hire can be any length but must be reasonable and should be long enough to compensate you for the loss of the margin earned from the services of that Temporary Worker or the loss of an introduction fee.</w:t>
            </w:r>
          </w:p>
          <w:p w14:paraId="1AF70039" w14:textId="77777777" w:rsidR="007E5BBC" w:rsidRDefault="007E5BBC" w:rsidP="00F02300">
            <w:pPr>
              <w:pStyle w:val="BodyText"/>
              <w:rPr>
                <w:bCs/>
              </w:rPr>
            </w:pPr>
          </w:p>
          <w:p w14:paraId="691DEA0B" w14:textId="10D0514B" w:rsidR="00F02300" w:rsidRPr="00C12072" w:rsidRDefault="007E5BBC" w:rsidP="00F02300">
            <w:pPr>
              <w:pStyle w:val="BodyText"/>
            </w:pPr>
            <w:r>
              <w:t>See the alternative transfer fee arrangements where the Conduct Regulations do not apply.</w:t>
            </w:r>
            <w:r w:rsidR="00F02300" w:rsidRPr="00CD127A">
              <w:rPr>
                <w:bCs/>
              </w:rPr>
              <w:t xml:space="preserve"> </w:t>
            </w:r>
            <w:r w:rsidR="00F02300">
              <w:rPr>
                <w:bCs/>
              </w:rPr>
              <w:t xml:space="preserve"> </w:t>
            </w:r>
          </w:p>
        </w:tc>
      </w:tr>
      <w:tr w:rsidR="00F02300" w14:paraId="3A4ECC4A" w14:textId="77777777" w:rsidTr="001C3C6E">
        <w:tc>
          <w:tcPr>
            <w:tcW w:w="1250" w:type="dxa"/>
          </w:tcPr>
          <w:p w14:paraId="7FFAD6D3" w14:textId="77777777" w:rsidR="00F02300" w:rsidRPr="00661B5F" w:rsidRDefault="00F02300" w:rsidP="00F02300">
            <w:pPr>
              <w:pStyle w:val="BodyText"/>
              <w:numPr>
                <w:ilvl w:val="0"/>
                <w:numId w:val="22"/>
              </w:numPr>
            </w:pPr>
          </w:p>
        </w:tc>
        <w:tc>
          <w:tcPr>
            <w:tcW w:w="2588" w:type="dxa"/>
          </w:tcPr>
          <w:p w14:paraId="55105B48" w14:textId="2D86EFE4" w:rsidR="00F02300" w:rsidRPr="00661B5F" w:rsidRDefault="00F02300" w:rsidP="00F02300">
            <w:pPr>
              <w:pStyle w:val="BodyText"/>
            </w:pPr>
            <w:r>
              <w:rPr>
                <w:bCs/>
              </w:rPr>
              <w:t>Schedule: Sample Assignment Details Form</w:t>
            </w:r>
          </w:p>
        </w:tc>
        <w:tc>
          <w:tcPr>
            <w:tcW w:w="5178" w:type="dxa"/>
          </w:tcPr>
          <w:p w14:paraId="6F8AC906" w14:textId="45D5A534" w:rsidR="00F02300" w:rsidRPr="00C12072" w:rsidRDefault="00F02300" w:rsidP="00F02300">
            <w:pPr>
              <w:pStyle w:val="BodyText"/>
            </w:pPr>
            <w:r>
              <w:rPr>
                <w:bCs/>
              </w:rPr>
              <w:t xml:space="preserve">The REC has prepared different assignment details forms for different types of supply.  You can amend these to suit your business needs (provided you meet the relevant legal requirements).  </w:t>
            </w:r>
          </w:p>
        </w:tc>
      </w:tr>
    </w:tbl>
    <w:p w14:paraId="24B38690" w14:textId="163E1317" w:rsidR="00A81AD4" w:rsidRDefault="00A81AD4" w:rsidP="00FE1620">
      <w:pPr>
        <w:pStyle w:val="IntroductionParagraph"/>
        <w:ind w:left="0"/>
        <w:rPr>
          <w:lang w:val="en-GB"/>
        </w:rPr>
      </w:pPr>
    </w:p>
    <w:p w14:paraId="18CC3062" w14:textId="77777777" w:rsidR="00A84112" w:rsidRDefault="00A84112" w:rsidP="00FE1620">
      <w:pPr>
        <w:pStyle w:val="IntroductionParagraph"/>
        <w:ind w:left="0"/>
        <w:rPr>
          <w:lang w:val="en-GB"/>
        </w:rPr>
      </w:pPr>
    </w:p>
    <w:p w14:paraId="308D0F91" w14:textId="77777777" w:rsidR="00A84112" w:rsidRDefault="00A84112" w:rsidP="00FE1620">
      <w:pPr>
        <w:pStyle w:val="IntroductionParagraph"/>
        <w:ind w:left="0"/>
        <w:rPr>
          <w:lang w:val="en-GB"/>
        </w:rPr>
      </w:pPr>
    </w:p>
    <w:p w14:paraId="44DF4563" w14:textId="77777777" w:rsidR="00A84112" w:rsidRDefault="00A84112" w:rsidP="00FE1620">
      <w:pPr>
        <w:pStyle w:val="IntroductionParagraph"/>
        <w:ind w:left="0"/>
        <w:rPr>
          <w:lang w:val="en-GB"/>
        </w:rPr>
      </w:pPr>
    </w:p>
    <w:p w14:paraId="382BAC31" w14:textId="77777777" w:rsidR="00A84112" w:rsidRDefault="00A84112" w:rsidP="00FE1620">
      <w:pPr>
        <w:pStyle w:val="IntroductionParagraph"/>
        <w:ind w:left="0"/>
        <w:rPr>
          <w:lang w:val="en-GB"/>
        </w:rPr>
      </w:pPr>
    </w:p>
    <w:p w14:paraId="439BE365" w14:textId="77777777" w:rsidR="00A84112" w:rsidRDefault="00A84112" w:rsidP="00FE1620">
      <w:pPr>
        <w:pStyle w:val="IntroductionParagraph"/>
        <w:ind w:left="0"/>
        <w:rPr>
          <w:lang w:val="en-GB"/>
        </w:rPr>
      </w:pPr>
    </w:p>
    <w:p w14:paraId="34EFB7E0" w14:textId="77777777" w:rsidR="00A84112" w:rsidRDefault="00A84112" w:rsidP="00FE1620">
      <w:pPr>
        <w:pStyle w:val="IntroductionParagraph"/>
        <w:ind w:left="0"/>
        <w:rPr>
          <w:lang w:val="en-GB"/>
        </w:rPr>
      </w:pPr>
    </w:p>
    <w:p w14:paraId="0A299601" w14:textId="77777777" w:rsidR="00A84112" w:rsidRDefault="00A84112" w:rsidP="00FE1620">
      <w:pPr>
        <w:pStyle w:val="IntroductionParagraph"/>
        <w:ind w:left="0"/>
        <w:rPr>
          <w:lang w:val="en-GB"/>
        </w:rPr>
      </w:pPr>
    </w:p>
    <w:p w14:paraId="17DB568C" w14:textId="77777777" w:rsidR="00A84112" w:rsidRDefault="00A84112" w:rsidP="00FE1620">
      <w:pPr>
        <w:pStyle w:val="IntroductionParagraph"/>
        <w:ind w:left="0"/>
        <w:rPr>
          <w:lang w:val="en-GB"/>
        </w:rPr>
      </w:pPr>
    </w:p>
    <w:p w14:paraId="3E41E1DC" w14:textId="77777777" w:rsidR="00A84112" w:rsidRDefault="00A84112" w:rsidP="00FE1620">
      <w:pPr>
        <w:pStyle w:val="IntroductionParagraph"/>
        <w:ind w:left="0"/>
        <w:rPr>
          <w:lang w:val="en-GB"/>
        </w:rPr>
      </w:pPr>
    </w:p>
    <w:p w14:paraId="06BFB860" w14:textId="77777777" w:rsidR="00A84112" w:rsidRDefault="00A84112" w:rsidP="00FE1620">
      <w:pPr>
        <w:pStyle w:val="IntroductionParagraph"/>
        <w:ind w:left="0"/>
        <w:rPr>
          <w:lang w:val="en-GB"/>
        </w:rPr>
      </w:pPr>
    </w:p>
    <w:p w14:paraId="4E02B566" w14:textId="77777777" w:rsidR="00A84112" w:rsidRDefault="00A84112" w:rsidP="00FE1620">
      <w:pPr>
        <w:pStyle w:val="IntroductionParagraph"/>
        <w:ind w:left="0"/>
        <w:rPr>
          <w:lang w:val="en-GB"/>
        </w:rPr>
      </w:pPr>
    </w:p>
    <w:p w14:paraId="6ED1AB62" w14:textId="77777777" w:rsidR="00A84112" w:rsidRDefault="00A84112" w:rsidP="00FE1620">
      <w:pPr>
        <w:pStyle w:val="IntroductionParagraph"/>
        <w:ind w:left="0"/>
        <w:rPr>
          <w:lang w:val="en-GB"/>
        </w:rPr>
      </w:pPr>
    </w:p>
    <w:p w14:paraId="6CBA1DCD" w14:textId="77777777" w:rsidR="00A84112" w:rsidRDefault="00A84112" w:rsidP="00FE1620">
      <w:pPr>
        <w:pStyle w:val="IntroductionParagraph"/>
        <w:ind w:left="0"/>
        <w:rPr>
          <w:lang w:val="en-GB"/>
        </w:rPr>
      </w:pPr>
    </w:p>
    <w:p w14:paraId="2A14C619" w14:textId="77777777" w:rsidR="00A84112" w:rsidRDefault="00A84112" w:rsidP="00FE1620">
      <w:pPr>
        <w:pStyle w:val="IntroductionParagraph"/>
        <w:ind w:left="0"/>
        <w:rPr>
          <w:lang w:val="en-GB"/>
        </w:rPr>
      </w:pPr>
    </w:p>
    <w:p w14:paraId="02A6C551" w14:textId="77777777" w:rsidR="00A84112" w:rsidRPr="00B161C5" w:rsidRDefault="00A84112" w:rsidP="00A84112">
      <w:pPr>
        <w:rPr>
          <w:rFonts w:ascii="Lato" w:hAnsi="Lato"/>
          <w:i/>
          <w:iCs/>
          <w:color w:val="5974D4" w:themeColor="background1"/>
          <w:sz w:val="28"/>
          <w:szCs w:val="28"/>
        </w:rPr>
      </w:pPr>
      <w:r>
        <w:rPr>
          <w:rFonts w:ascii="Lato" w:hAnsi="Lato"/>
          <w:i/>
          <w:iCs/>
          <w:color w:val="5974D4" w:themeColor="background1"/>
          <w:sz w:val="28"/>
          <w:szCs w:val="28"/>
        </w:rPr>
        <w:lastRenderedPageBreak/>
        <w:t>Delete this annex from the terms given to the Hirer</w:t>
      </w:r>
    </w:p>
    <w:p w14:paraId="52EC6474" w14:textId="77777777" w:rsidR="00A84112" w:rsidRPr="00043EE1" w:rsidRDefault="00A84112" w:rsidP="00A84112">
      <w:pPr>
        <w:rPr>
          <w:rFonts w:ascii="Lato" w:hAnsi="Lato"/>
          <w:color w:val="5974D4" w:themeColor="background1"/>
          <w:sz w:val="28"/>
          <w:szCs w:val="28"/>
        </w:rPr>
      </w:pPr>
      <w:r w:rsidRPr="00043EE1">
        <w:rPr>
          <w:rFonts w:ascii="Lato" w:hAnsi="Lato"/>
          <w:color w:val="5974D4" w:themeColor="background1"/>
          <w:sz w:val="28"/>
          <w:szCs w:val="28"/>
        </w:rPr>
        <w:t xml:space="preserve">Annex 1 – </w:t>
      </w:r>
      <w:r>
        <w:rPr>
          <w:rFonts w:ascii="Lato" w:hAnsi="Lato"/>
          <w:color w:val="5974D4" w:themeColor="background1"/>
          <w:sz w:val="28"/>
          <w:szCs w:val="28"/>
        </w:rPr>
        <w:t>Amendments</w:t>
      </w:r>
    </w:p>
    <w:p w14:paraId="51D6A08A" w14:textId="77777777" w:rsidR="00A84112" w:rsidRDefault="00A84112" w:rsidP="00A84112">
      <w:pPr>
        <w:spacing w:after="0"/>
        <w:rPr>
          <w:rFonts w:ascii="Lato" w:hAnsi="Lato"/>
          <w:b/>
          <w:color w:val="0D133D" w:themeColor="text1"/>
          <w:sz w:val="20"/>
          <w:szCs w:val="20"/>
        </w:rPr>
      </w:pPr>
      <w:r>
        <w:rPr>
          <w:rFonts w:ascii="Lato" w:hAnsi="Lato"/>
          <w:b/>
          <w:bCs/>
          <w:color w:val="0D133D" w:themeColor="text1"/>
          <w:sz w:val="20"/>
          <w:szCs w:val="20"/>
        </w:rPr>
        <w:t>We list here the main amendments rather than every word. We recommend that members adopt the amended terms in their entirety rather than amend individual provisions.</w:t>
      </w:r>
    </w:p>
    <w:p w14:paraId="31D9BC47" w14:textId="77777777" w:rsidR="00A84112" w:rsidRDefault="00A84112" w:rsidP="00A84112">
      <w:pPr>
        <w:spacing w:after="0"/>
        <w:rPr>
          <w:rFonts w:ascii="Lato" w:hAnsi="Lato"/>
          <w:b/>
          <w:bCs/>
          <w:color w:val="0D133D" w:themeColor="text1"/>
          <w:sz w:val="20"/>
          <w:szCs w:val="20"/>
        </w:rPr>
      </w:pPr>
    </w:p>
    <w:tbl>
      <w:tblPr>
        <w:tblStyle w:val="RECtable1"/>
        <w:tblW w:w="0" w:type="auto"/>
        <w:tblLayout w:type="fixed"/>
        <w:tblLook w:val="01E0" w:firstRow="1" w:lastRow="1" w:firstColumn="1" w:lastColumn="1" w:noHBand="0" w:noVBand="0"/>
      </w:tblPr>
      <w:tblGrid>
        <w:gridCol w:w="2689"/>
        <w:gridCol w:w="6"/>
        <w:gridCol w:w="1440"/>
        <w:gridCol w:w="4881"/>
      </w:tblGrid>
      <w:tr w:rsidR="00A84112" w:rsidRPr="00B161C5" w14:paraId="5DE8E929" w14:textId="77777777" w:rsidTr="00E62CEF">
        <w:trPr>
          <w:cnfStyle w:val="100000000000" w:firstRow="1" w:lastRow="0" w:firstColumn="0" w:lastColumn="0" w:oddVBand="0" w:evenVBand="0" w:oddHBand="0" w:evenHBand="0" w:firstRowFirstColumn="0" w:firstRowLastColumn="0" w:lastRowFirstColumn="0" w:lastRowLastColumn="0"/>
          <w:trHeight w:val="480"/>
        </w:trPr>
        <w:tc>
          <w:tcPr>
            <w:tcW w:w="2689" w:type="dxa"/>
          </w:tcPr>
          <w:p w14:paraId="0918CA16" w14:textId="77777777" w:rsidR="00A84112" w:rsidRPr="00B161C5" w:rsidRDefault="00A84112" w:rsidP="00E62CEF">
            <w:pPr>
              <w:ind w:right="284"/>
              <w:jc w:val="both"/>
              <w:rPr>
                <w:b w:val="0"/>
                <w:sz w:val="20"/>
                <w:szCs w:val="20"/>
              </w:rPr>
            </w:pPr>
            <w:r w:rsidRPr="00B161C5">
              <w:rPr>
                <w:sz w:val="20"/>
                <w:szCs w:val="20"/>
              </w:rPr>
              <w:t>Clause</w:t>
            </w:r>
          </w:p>
          <w:p w14:paraId="170D5CC0" w14:textId="77777777" w:rsidR="00A84112" w:rsidRPr="00B161C5" w:rsidRDefault="00A84112" w:rsidP="00E62CEF">
            <w:pPr>
              <w:ind w:right="284"/>
              <w:jc w:val="both"/>
              <w:rPr>
                <w:b w:val="0"/>
                <w:sz w:val="20"/>
                <w:szCs w:val="20"/>
              </w:rPr>
            </w:pPr>
          </w:p>
        </w:tc>
        <w:tc>
          <w:tcPr>
            <w:tcW w:w="1446" w:type="dxa"/>
            <w:gridSpan w:val="2"/>
          </w:tcPr>
          <w:p w14:paraId="76ABF269" w14:textId="77777777" w:rsidR="00A84112" w:rsidRPr="00B161C5" w:rsidRDefault="00A84112" w:rsidP="00E62CEF">
            <w:pPr>
              <w:ind w:right="284"/>
              <w:jc w:val="both"/>
              <w:rPr>
                <w:b w:val="0"/>
                <w:sz w:val="20"/>
                <w:szCs w:val="20"/>
              </w:rPr>
            </w:pPr>
            <w:r w:rsidRPr="00B161C5">
              <w:rPr>
                <w:sz w:val="20"/>
                <w:szCs w:val="20"/>
              </w:rPr>
              <w:t>Related Note</w:t>
            </w:r>
          </w:p>
          <w:p w14:paraId="3D7F9CFB" w14:textId="77777777" w:rsidR="00A84112" w:rsidRPr="00B161C5" w:rsidRDefault="00A84112" w:rsidP="00E62CEF">
            <w:pPr>
              <w:ind w:right="284"/>
              <w:jc w:val="both"/>
              <w:rPr>
                <w:b w:val="0"/>
                <w:sz w:val="20"/>
                <w:szCs w:val="20"/>
              </w:rPr>
            </w:pPr>
          </w:p>
        </w:tc>
        <w:tc>
          <w:tcPr>
            <w:tcW w:w="4881" w:type="dxa"/>
          </w:tcPr>
          <w:p w14:paraId="63B62651" w14:textId="77777777" w:rsidR="00A84112" w:rsidRPr="00B161C5" w:rsidRDefault="00A84112" w:rsidP="00E62CEF">
            <w:pPr>
              <w:ind w:right="284"/>
              <w:jc w:val="both"/>
              <w:rPr>
                <w:b w:val="0"/>
                <w:sz w:val="20"/>
                <w:szCs w:val="20"/>
              </w:rPr>
            </w:pPr>
            <w:r w:rsidRPr="00B161C5">
              <w:rPr>
                <w:sz w:val="20"/>
                <w:szCs w:val="20"/>
              </w:rPr>
              <w:t>Description</w:t>
            </w:r>
          </w:p>
        </w:tc>
      </w:tr>
      <w:tr w:rsidR="00A84112" w:rsidRPr="00B161C5" w14:paraId="4B2863A4" w14:textId="77777777" w:rsidTr="00E62CEF">
        <w:tc>
          <w:tcPr>
            <w:tcW w:w="9016" w:type="dxa"/>
            <w:gridSpan w:val="4"/>
          </w:tcPr>
          <w:p w14:paraId="4B45ADC6" w14:textId="5BC2E466" w:rsidR="00A84112" w:rsidRPr="00B161C5" w:rsidRDefault="00A84112" w:rsidP="00E62CEF">
            <w:pPr>
              <w:ind w:right="284"/>
              <w:jc w:val="both"/>
              <w:rPr>
                <w:rFonts w:ascii="Lato" w:hAnsi="Lato"/>
                <w:bCs/>
                <w:szCs w:val="20"/>
              </w:rPr>
            </w:pPr>
            <w:r w:rsidRPr="00B161C5">
              <w:rPr>
                <w:rFonts w:ascii="Lato" w:hAnsi="Lato"/>
                <w:b/>
                <w:szCs w:val="20"/>
              </w:rPr>
              <w:t xml:space="preserve">Amendments made in </w:t>
            </w:r>
            <w:r w:rsidR="0077390D">
              <w:rPr>
                <w:rFonts w:ascii="Lato" w:hAnsi="Lato"/>
                <w:b/>
                <w:szCs w:val="20"/>
              </w:rPr>
              <w:t xml:space="preserve">March </w:t>
            </w:r>
            <w:r>
              <w:rPr>
                <w:rFonts w:ascii="Lato" w:hAnsi="Lato"/>
                <w:b/>
                <w:szCs w:val="20"/>
              </w:rPr>
              <w:t xml:space="preserve">to the </w:t>
            </w:r>
            <w:r w:rsidR="0077390D">
              <w:rPr>
                <w:rFonts w:ascii="Lato" w:hAnsi="Lato"/>
                <w:b/>
                <w:szCs w:val="20"/>
              </w:rPr>
              <w:t xml:space="preserve">August </w:t>
            </w:r>
            <w:r w:rsidR="0077390D" w:rsidRPr="00B161C5">
              <w:rPr>
                <w:rFonts w:ascii="Lato" w:hAnsi="Lato"/>
                <w:b/>
                <w:szCs w:val="20"/>
              </w:rPr>
              <w:t>2023</w:t>
            </w:r>
            <w:r w:rsidRPr="00B161C5">
              <w:rPr>
                <w:rFonts w:ascii="Lato" w:hAnsi="Lato"/>
                <w:b/>
                <w:szCs w:val="20"/>
              </w:rPr>
              <w:t xml:space="preserve"> version</w:t>
            </w:r>
          </w:p>
        </w:tc>
      </w:tr>
      <w:tr w:rsidR="00A84112" w:rsidRPr="00B161C5" w14:paraId="1C619F84" w14:textId="77777777" w:rsidTr="00E62CEF">
        <w:tc>
          <w:tcPr>
            <w:tcW w:w="2695" w:type="dxa"/>
            <w:gridSpan w:val="2"/>
          </w:tcPr>
          <w:p w14:paraId="678354D4" w14:textId="77777777" w:rsidR="00A84112" w:rsidRPr="00B161C5" w:rsidRDefault="00A84112" w:rsidP="00E62CEF">
            <w:pPr>
              <w:ind w:right="284"/>
              <w:jc w:val="both"/>
              <w:rPr>
                <w:rFonts w:ascii="Lato" w:hAnsi="Lato"/>
                <w:bCs/>
                <w:szCs w:val="20"/>
              </w:rPr>
            </w:pPr>
            <w:r w:rsidRPr="00E8010C">
              <w:rPr>
                <w:rFonts w:ascii="Lato" w:hAnsi="Lato"/>
                <w:bCs/>
                <w:szCs w:val="20"/>
              </w:rPr>
              <w:t>When to move to the new contracts</w:t>
            </w:r>
          </w:p>
        </w:tc>
        <w:tc>
          <w:tcPr>
            <w:tcW w:w="1440" w:type="dxa"/>
          </w:tcPr>
          <w:p w14:paraId="345A4972" w14:textId="77777777" w:rsidR="00A84112" w:rsidRPr="00B161C5" w:rsidRDefault="00A84112" w:rsidP="00E62CEF">
            <w:pPr>
              <w:ind w:right="284"/>
              <w:jc w:val="both"/>
              <w:rPr>
                <w:rFonts w:ascii="Lato" w:hAnsi="Lato"/>
                <w:bCs/>
                <w:szCs w:val="20"/>
              </w:rPr>
            </w:pPr>
          </w:p>
        </w:tc>
        <w:tc>
          <w:tcPr>
            <w:tcW w:w="4881" w:type="dxa"/>
          </w:tcPr>
          <w:p w14:paraId="06C05AA2" w14:textId="77777777" w:rsidR="00A84112" w:rsidRPr="00B161C5" w:rsidRDefault="00A84112" w:rsidP="00E62CEF">
            <w:pPr>
              <w:ind w:right="284"/>
              <w:jc w:val="both"/>
              <w:rPr>
                <w:rFonts w:ascii="Lato" w:hAnsi="Lato"/>
                <w:bCs/>
                <w:szCs w:val="20"/>
              </w:rPr>
            </w:pPr>
            <w:r>
              <w:rPr>
                <w:rFonts w:ascii="Lato" w:hAnsi="Lato"/>
                <w:szCs w:val="20"/>
              </w:rPr>
              <w:t>Minor changes made to wording to reflect the fact that the application of the off-payroll rules to the private sector is no longer a new development</w:t>
            </w:r>
          </w:p>
        </w:tc>
      </w:tr>
      <w:tr w:rsidR="00A84112" w:rsidRPr="00B161C5" w14:paraId="3F77EF2E" w14:textId="77777777" w:rsidTr="00E62CEF">
        <w:tc>
          <w:tcPr>
            <w:tcW w:w="2695" w:type="dxa"/>
            <w:gridSpan w:val="2"/>
          </w:tcPr>
          <w:p w14:paraId="68315A4D" w14:textId="77777777" w:rsidR="00A84112" w:rsidRDefault="00A84112" w:rsidP="00E62CEF">
            <w:pPr>
              <w:ind w:right="284"/>
              <w:jc w:val="both"/>
              <w:rPr>
                <w:rFonts w:ascii="Lato" w:hAnsi="Lato"/>
                <w:bCs/>
                <w:szCs w:val="20"/>
              </w:rPr>
            </w:pPr>
            <w:r>
              <w:rPr>
                <w:rFonts w:ascii="Lato" w:hAnsi="Lato"/>
                <w:bCs/>
                <w:szCs w:val="20"/>
              </w:rPr>
              <w:t>The Off-Payroll Rules</w:t>
            </w:r>
          </w:p>
        </w:tc>
        <w:tc>
          <w:tcPr>
            <w:tcW w:w="1440" w:type="dxa"/>
          </w:tcPr>
          <w:p w14:paraId="48622386" w14:textId="77777777" w:rsidR="00A84112" w:rsidRDefault="00A84112" w:rsidP="00E62CEF">
            <w:pPr>
              <w:ind w:right="284"/>
              <w:jc w:val="both"/>
              <w:rPr>
                <w:rFonts w:ascii="Lato" w:hAnsi="Lato"/>
                <w:szCs w:val="20"/>
              </w:rPr>
            </w:pPr>
          </w:p>
        </w:tc>
        <w:tc>
          <w:tcPr>
            <w:tcW w:w="4881" w:type="dxa"/>
          </w:tcPr>
          <w:p w14:paraId="77F9A691" w14:textId="77777777" w:rsidR="00A84112" w:rsidRPr="00B161C5" w:rsidRDefault="00A84112" w:rsidP="00E62CEF">
            <w:pPr>
              <w:ind w:right="284"/>
              <w:jc w:val="both"/>
              <w:rPr>
                <w:rFonts w:ascii="Lato" w:hAnsi="Lato"/>
                <w:szCs w:val="20"/>
              </w:rPr>
            </w:pPr>
            <w:r>
              <w:rPr>
                <w:rFonts w:ascii="Lato" w:hAnsi="Lato"/>
                <w:szCs w:val="20"/>
              </w:rPr>
              <w:t xml:space="preserve">Amendment made to include information relating to </w:t>
            </w:r>
            <w:r w:rsidRPr="00F16201">
              <w:rPr>
                <w:rFonts w:ascii="Lato" w:hAnsi="Lato"/>
                <w:szCs w:val="20"/>
              </w:rPr>
              <w:t>The Companies (Accounts and Reports) (Amendment and Transitional Provision) Regulations 2024 which come into effect on 6th April 2025 amend</w:t>
            </w:r>
            <w:r>
              <w:rPr>
                <w:rFonts w:ascii="Lato" w:hAnsi="Lato"/>
                <w:szCs w:val="20"/>
              </w:rPr>
              <w:t>ing</w:t>
            </w:r>
            <w:r w:rsidRPr="00F16201">
              <w:rPr>
                <w:rFonts w:ascii="Lato" w:hAnsi="Lato"/>
                <w:szCs w:val="20"/>
              </w:rPr>
              <w:t xml:space="preserve"> section 382 of the Companies Act 2006. The Regulations increase the turnover and balance sheet total thresholds for determining whether a company of an unincorporated organisation is a small organisation and therefore exempt from the Off-Payroll rules</w:t>
            </w:r>
          </w:p>
        </w:tc>
      </w:tr>
      <w:tr w:rsidR="00A84112" w:rsidRPr="00B161C5" w14:paraId="4B78982D" w14:textId="77777777" w:rsidTr="00E62CEF">
        <w:tc>
          <w:tcPr>
            <w:tcW w:w="2695" w:type="dxa"/>
            <w:gridSpan w:val="2"/>
          </w:tcPr>
          <w:p w14:paraId="771F7DC4" w14:textId="77777777" w:rsidR="00A84112" w:rsidRDefault="00A84112" w:rsidP="00E62CEF">
            <w:pPr>
              <w:ind w:right="284"/>
              <w:jc w:val="both"/>
              <w:rPr>
                <w:rFonts w:ascii="Lato" w:hAnsi="Lato"/>
                <w:bCs/>
                <w:szCs w:val="20"/>
              </w:rPr>
            </w:pPr>
          </w:p>
        </w:tc>
        <w:tc>
          <w:tcPr>
            <w:tcW w:w="1440" w:type="dxa"/>
          </w:tcPr>
          <w:p w14:paraId="0E28C20A" w14:textId="77777777" w:rsidR="00A84112" w:rsidRDefault="00A84112" w:rsidP="00E62CEF">
            <w:pPr>
              <w:ind w:right="284"/>
              <w:jc w:val="both"/>
              <w:rPr>
                <w:rFonts w:ascii="Lato" w:hAnsi="Lato"/>
                <w:szCs w:val="20"/>
              </w:rPr>
            </w:pPr>
            <w:r>
              <w:rPr>
                <w:rFonts w:ascii="Lato" w:hAnsi="Lato"/>
                <w:szCs w:val="20"/>
              </w:rPr>
              <w:t>4</w:t>
            </w:r>
          </w:p>
        </w:tc>
        <w:tc>
          <w:tcPr>
            <w:tcW w:w="4881" w:type="dxa"/>
          </w:tcPr>
          <w:p w14:paraId="4CA8BA98" w14:textId="77777777" w:rsidR="00A84112" w:rsidRDefault="00A84112" w:rsidP="00E62CEF">
            <w:pPr>
              <w:ind w:right="284"/>
              <w:jc w:val="both"/>
              <w:rPr>
                <w:rFonts w:ascii="Lato" w:hAnsi="Lato"/>
                <w:szCs w:val="20"/>
              </w:rPr>
            </w:pPr>
            <w:r>
              <w:rPr>
                <w:rFonts w:ascii="Lato" w:hAnsi="Lato"/>
                <w:szCs w:val="20"/>
              </w:rPr>
              <w:t>Minor amendment made to replace the word "Contractor" with the "Temporary Resource" for consistency.</w:t>
            </w:r>
          </w:p>
          <w:p w14:paraId="000B4592" w14:textId="77777777" w:rsidR="00A84112" w:rsidRPr="00B161C5" w:rsidRDefault="00A84112" w:rsidP="00E62CEF">
            <w:pPr>
              <w:ind w:right="284"/>
              <w:jc w:val="both"/>
              <w:rPr>
                <w:rFonts w:ascii="Lato" w:hAnsi="Lato"/>
                <w:szCs w:val="20"/>
              </w:rPr>
            </w:pPr>
          </w:p>
        </w:tc>
      </w:tr>
      <w:tr w:rsidR="00A84112" w:rsidRPr="00B161C5" w14:paraId="10055373" w14:textId="77777777" w:rsidTr="00E62CEF">
        <w:tc>
          <w:tcPr>
            <w:tcW w:w="2695" w:type="dxa"/>
            <w:gridSpan w:val="2"/>
          </w:tcPr>
          <w:p w14:paraId="48BF09A8" w14:textId="77777777" w:rsidR="00A84112" w:rsidRDefault="00A84112" w:rsidP="00E62CEF">
            <w:pPr>
              <w:ind w:right="284"/>
              <w:jc w:val="both"/>
              <w:rPr>
                <w:rFonts w:ascii="Lato" w:hAnsi="Lato"/>
                <w:bCs/>
                <w:szCs w:val="20"/>
              </w:rPr>
            </w:pPr>
          </w:p>
        </w:tc>
        <w:tc>
          <w:tcPr>
            <w:tcW w:w="1440" w:type="dxa"/>
          </w:tcPr>
          <w:p w14:paraId="63E24400" w14:textId="77777777" w:rsidR="00A84112" w:rsidRDefault="00A84112" w:rsidP="00E62CEF">
            <w:pPr>
              <w:ind w:right="284"/>
              <w:jc w:val="both"/>
              <w:rPr>
                <w:rFonts w:ascii="Lato" w:hAnsi="Lato"/>
                <w:szCs w:val="20"/>
              </w:rPr>
            </w:pPr>
            <w:r>
              <w:rPr>
                <w:rFonts w:ascii="Lato" w:hAnsi="Lato"/>
                <w:szCs w:val="20"/>
              </w:rPr>
              <w:t>14</w:t>
            </w:r>
          </w:p>
        </w:tc>
        <w:tc>
          <w:tcPr>
            <w:tcW w:w="4881" w:type="dxa"/>
          </w:tcPr>
          <w:p w14:paraId="7A57A942" w14:textId="77777777" w:rsidR="00A84112" w:rsidRDefault="00A84112" w:rsidP="00E62CEF">
            <w:pPr>
              <w:ind w:right="284"/>
              <w:jc w:val="both"/>
              <w:rPr>
                <w:rFonts w:ascii="Lato" w:hAnsi="Lato"/>
                <w:szCs w:val="20"/>
              </w:rPr>
            </w:pPr>
            <w:r>
              <w:rPr>
                <w:rFonts w:ascii="Lato" w:hAnsi="Lato"/>
                <w:szCs w:val="20"/>
              </w:rPr>
              <w:t>Minor changes made to wording to reflect the fact that the application of the off-payroll rules to the private sector is no longer a new development</w:t>
            </w:r>
          </w:p>
        </w:tc>
      </w:tr>
    </w:tbl>
    <w:p w14:paraId="375F09AA" w14:textId="77777777" w:rsidR="00A84112" w:rsidRDefault="00A84112" w:rsidP="00A84112"/>
    <w:p w14:paraId="226BE851" w14:textId="77777777" w:rsidR="00A84112" w:rsidRDefault="00A84112" w:rsidP="00FE1620">
      <w:pPr>
        <w:pStyle w:val="IntroductionParagraph"/>
        <w:ind w:left="0"/>
        <w:rPr>
          <w:lang w:val="en-GB"/>
        </w:rPr>
      </w:pPr>
    </w:p>
    <w:sectPr w:rsidR="00A84112" w:rsidSect="003D0884">
      <w:headerReference w:type="default" r:id="rId50"/>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5871" w14:textId="77777777" w:rsidR="00DF4AEB" w:rsidRDefault="00DF4AEB" w:rsidP="008F24B5">
      <w:pPr>
        <w:spacing w:after="0" w:line="240" w:lineRule="auto"/>
      </w:pPr>
      <w:r>
        <w:separator/>
      </w:r>
    </w:p>
  </w:endnote>
  <w:endnote w:type="continuationSeparator" w:id="0">
    <w:p w14:paraId="4685B11F" w14:textId="77777777" w:rsidR="00DF4AEB" w:rsidRDefault="00DF4AEB"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E42DF1C" w14:textId="7DC7CFEA" w:rsidR="00BF3CD7" w:rsidRPr="00671936" w:rsidRDefault="00BF3CD7" w:rsidP="009A36A7">
        <w:pPr>
          <w:pStyle w:val="Footer"/>
          <w:pBdr>
            <w:top w:val="single" w:sz="4" w:space="1" w:color="0D133D" w:themeColor="text1"/>
          </w:pBdr>
          <w:rPr>
            <w:rFonts w:ascii="Lato" w:hAnsi="Lato"/>
            <w:color w:val="0D133D" w:themeColor="text1"/>
            <w:sz w:val="18"/>
            <w:szCs w:val="18"/>
          </w:rPr>
        </w:pPr>
        <w:r>
          <w:rPr>
            <w:rFonts w:ascii="Lato" w:hAnsi="Lato"/>
            <w:sz w:val="18"/>
            <w:szCs w:val="18"/>
          </w:rPr>
          <w:t xml:space="preserve">© REC </w:t>
        </w:r>
        <w:r w:rsidR="00725576">
          <w:rPr>
            <w:rFonts w:ascii="Lato" w:hAnsi="Lato"/>
            <w:sz w:val="18"/>
            <w:szCs w:val="18"/>
          </w:rPr>
          <w:t xml:space="preserve">March </w:t>
        </w:r>
        <w:r w:rsidR="008A74A8">
          <w:rPr>
            <w:rFonts w:ascii="Lato" w:hAnsi="Lato"/>
            <w:sz w:val="18"/>
            <w:szCs w:val="18"/>
          </w:rPr>
          <w:t>2025</w:t>
        </w:r>
        <w:r>
          <w:rPr>
            <w:rFonts w:ascii="Lato" w:hAnsi="Lato"/>
            <w:sz w:val="18"/>
            <w:szCs w:val="18"/>
          </w:rPr>
          <w:tab/>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AF60" w14:textId="77777777" w:rsidR="00DF4AEB" w:rsidRDefault="00DF4AEB" w:rsidP="008F24B5">
      <w:pPr>
        <w:spacing w:after="0" w:line="240" w:lineRule="auto"/>
      </w:pPr>
      <w:r>
        <w:separator/>
      </w:r>
    </w:p>
  </w:footnote>
  <w:footnote w:type="continuationSeparator" w:id="0">
    <w:p w14:paraId="5B7A0FD7" w14:textId="77777777" w:rsidR="00DF4AEB" w:rsidRDefault="00DF4AEB" w:rsidP="008F24B5">
      <w:pPr>
        <w:spacing w:after="0" w:line="240" w:lineRule="auto"/>
      </w:pPr>
      <w:r>
        <w:continuationSeparator/>
      </w:r>
    </w:p>
  </w:footnote>
  <w:footnote w:id="1">
    <w:p w14:paraId="73C3335D" w14:textId="63E9FC4C" w:rsidR="001C1C11" w:rsidRPr="002D499C" w:rsidRDefault="001C1C11" w:rsidP="001C1C11">
      <w:pPr>
        <w:pStyle w:val="FootnoteText"/>
        <w:rPr>
          <w:rFonts w:ascii="Lato" w:hAnsi="Lato"/>
          <w:sz w:val="18"/>
          <w:szCs w:val="18"/>
        </w:rPr>
      </w:pPr>
      <w:r>
        <w:rPr>
          <w:rStyle w:val="FootnoteReference"/>
        </w:rPr>
        <w:footnoteRef/>
      </w:r>
      <w:r>
        <w:t xml:space="preserve"> </w:t>
      </w:r>
      <w:r w:rsidR="002D499C" w:rsidRPr="002D499C">
        <w:rPr>
          <w:rFonts w:ascii="Lato" w:hAnsi="Lato"/>
          <w:sz w:val="18"/>
          <w:szCs w:val="18"/>
        </w:rPr>
        <w:t>Generally, t</w:t>
      </w:r>
      <w:r w:rsidRPr="002D499C">
        <w:rPr>
          <w:rFonts w:ascii="Lato" w:hAnsi="Lato"/>
          <w:sz w:val="18"/>
          <w:szCs w:val="18"/>
        </w:rPr>
        <w:t xml:space="preserve">he criteria for a small company are based on </w:t>
      </w:r>
      <w:r w:rsidRPr="002D499C">
        <w:rPr>
          <w:rFonts w:ascii="Lato" w:hAnsi="Lato"/>
          <w:b/>
          <w:sz w:val="18"/>
          <w:szCs w:val="18"/>
        </w:rPr>
        <w:t>financial year</w:t>
      </w:r>
      <w:r w:rsidRPr="002D499C">
        <w:rPr>
          <w:rFonts w:ascii="Lato" w:hAnsi="Lato"/>
          <w:sz w:val="18"/>
          <w:szCs w:val="18"/>
        </w:rPr>
        <w:t xml:space="preserve">/filing period OR </w:t>
      </w:r>
      <w:r w:rsidRPr="002D499C">
        <w:rPr>
          <w:rFonts w:ascii="Lato" w:hAnsi="Lato"/>
          <w:b/>
          <w:sz w:val="18"/>
          <w:szCs w:val="18"/>
        </w:rPr>
        <w:t>calendar</w:t>
      </w:r>
      <w:r w:rsidRPr="002D499C">
        <w:rPr>
          <w:rFonts w:ascii="Lato" w:hAnsi="Lato"/>
          <w:sz w:val="18"/>
          <w:szCs w:val="18"/>
        </w:rPr>
        <w:t xml:space="preserve"> year if unincorporated. But the rules will apply from the relevant </w:t>
      </w:r>
      <w:r w:rsidRPr="002D499C">
        <w:rPr>
          <w:rFonts w:ascii="Lato" w:hAnsi="Lato"/>
          <w:b/>
          <w:sz w:val="18"/>
          <w:szCs w:val="18"/>
        </w:rPr>
        <w:t>tax</w:t>
      </w:r>
      <w:r w:rsidRPr="002D499C">
        <w:rPr>
          <w:rFonts w:ascii="Lato" w:hAnsi="Lato"/>
          <w:sz w:val="18"/>
          <w:szCs w:val="18"/>
        </w:rPr>
        <w:t xml:space="preserve"> year after they stop being small, i.e. For unincorporated companies: clients must </w:t>
      </w:r>
      <w:r w:rsidRPr="002D499C">
        <w:rPr>
          <w:rFonts w:ascii="Lato" w:hAnsi="Lato"/>
          <w:sz w:val="18"/>
          <w:szCs w:val="18"/>
          <w:lang w:val="en-US"/>
        </w:rPr>
        <w:t xml:space="preserve">apply the rules from the start of the </w:t>
      </w:r>
      <w:r w:rsidRPr="002D499C">
        <w:rPr>
          <w:rFonts w:ascii="Lato" w:hAnsi="Lato"/>
          <w:b/>
          <w:sz w:val="18"/>
          <w:szCs w:val="18"/>
          <w:lang w:val="en-US"/>
        </w:rPr>
        <w:t xml:space="preserve">tax year </w:t>
      </w:r>
      <w:r w:rsidRPr="002D499C">
        <w:rPr>
          <w:rFonts w:ascii="Lato" w:hAnsi="Lato"/>
          <w:sz w:val="18"/>
          <w:szCs w:val="18"/>
          <w:lang w:val="en-US"/>
        </w:rPr>
        <w:t xml:space="preserve">following the end of the </w:t>
      </w:r>
      <w:r w:rsidRPr="002D499C">
        <w:rPr>
          <w:rFonts w:ascii="Lato" w:hAnsi="Lato"/>
          <w:b/>
          <w:sz w:val="18"/>
          <w:szCs w:val="18"/>
          <w:lang w:val="en-US"/>
        </w:rPr>
        <w:t>calendar year</w:t>
      </w:r>
      <w:r w:rsidRPr="002D499C">
        <w:rPr>
          <w:rFonts w:ascii="Lato" w:hAnsi="Lato"/>
          <w:sz w:val="18"/>
          <w:szCs w:val="18"/>
          <w:lang w:val="en-US"/>
        </w:rPr>
        <w:t xml:space="preserve"> when they met the conditions.</w:t>
      </w:r>
    </w:p>
    <w:p w14:paraId="22965C77" w14:textId="77777777" w:rsidR="001C1C11" w:rsidRPr="002D499C" w:rsidRDefault="001C1C11" w:rsidP="001C1C11">
      <w:pPr>
        <w:pStyle w:val="FootnoteText"/>
        <w:rPr>
          <w:rFonts w:ascii="Lato" w:hAnsi="Lato"/>
          <w:sz w:val="18"/>
          <w:szCs w:val="18"/>
          <w:lang w:val="en-US"/>
        </w:rPr>
      </w:pPr>
    </w:p>
    <w:p w14:paraId="1E199D50" w14:textId="1EF813D5" w:rsidR="002D499C" w:rsidRPr="000B0033" w:rsidRDefault="001C1C11" w:rsidP="002D499C">
      <w:pPr>
        <w:pStyle w:val="BodyText"/>
        <w:rPr>
          <w:bCs/>
          <w:sz w:val="18"/>
          <w:szCs w:val="18"/>
          <w:lang w:eastAsia="en-GB"/>
        </w:rPr>
      </w:pPr>
      <w:r w:rsidRPr="002D499C">
        <w:rPr>
          <w:sz w:val="18"/>
          <w:szCs w:val="18"/>
          <w:lang w:val="en-US"/>
        </w:rPr>
        <w:t xml:space="preserve">For incorporated companies: if the company meets the conditions for two consecutive years, clients must apply the rules from the start of the </w:t>
      </w:r>
      <w:r w:rsidRPr="002D499C">
        <w:rPr>
          <w:b/>
          <w:sz w:val="18"/>
          <w:szCs w:val="18"/>
          <w:lang w:val="en-US"/>
        </w:rPr>
        <w:t xml:space="preserve">tax year </w:t>
      </w:r>
      <w:r w:rsidRPr="002D499C">
        <w:rPr>
          <w:sz w:val="18"/>
          <w:szCs w:val="18"/>
          <w:lang w:val="en-US"/>
        </w:rPr>
        <w:t xml:space="preserve">following the </w:t>
      </w:r>
      <w:r w:rsidRPr="002D499C">
        <w:rPr>
          <w:b/>
          <w:sz w:val="18"/>
          <w:szCs w:val="18"/>
          <w:lang w:val="en-US"/>
        </w:rPr>
        <w:t>end of the filing period for the second financial year</w:t>
      </w:r>
      <w:r w:rsidRPr="002D499C">
        <w:rPr>
          <w:sz w:val="18"/>
          <w:szCs w:val="18"/>
          <w:lang w:val="en-US"/>
        </w:rPr>
        <w:t xml:space="preserve"> when they met the conditions</w:t>
      </w:r>
      <w:r w:rsidRPr="002D499C">
        <w:rPr>
          <w:sz w:val="18"/>
          <w:szCs w:val="18"/>
        </w:rPr>
        <w:t>.</w:t>
      </w:r>
      <w:r w:rsidR="002D499C" w:rsidRPr="002D499C">
        <w:rPr>
          <w:sz w:val="18"/>
          <w:szCs w:val="18"/>
        </w:rPr>
        <w:t xml:space="preserve"> However, </w:t>
      </w:r>
      <w:r w:rsidR="002D499C" w:rsidRPr="000B0033">
        <w:rPr>
          <w:bCs/>
          <w:sz w:val="18"/>
          <w:szCs w:val="18"/>
          <w:lang w:eastAsia="en-GB"/>
        </w:rPr>
        <w:t>a transitional provision applies in respect of the new thresholds, so that when considering qualification as a particular company or unincorporated organisation size in a previous financial year, the new thresholds can be treated as having applied in those previous years. This is so that companies and unincorporated organisations can benefit from the new thresholds as soon as possible after they come into force legislation comes into force</w:t>
      </w:r>
      <w:r w:rsidR="002D499C">
        <w:rPr>
          <w:bCs/>
          <w:sz w:val="18"/>
          <w:szCs w:val="18"/>
          <w:lang w:eastAsia="en-GB"/>
        </w:rPr>
        <w:t>.</w:t>
      </w:r>
    </w:p>
    <w:p w14:paraId="7D66076F" w14:textId="57B4CF6B" w:rsidR="001C1C11" w:rsidRPr="00E66DBE" w:rsidRDefault="001C1C11" w:rsidP="001C1C1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B127" w14:textId="77777777" w:rsidR="00BF3CD7" w:rsidRDefault="00BF3CD7">
    <w:pPr>
      <w:pStyle w:val="Header"/>
    </w:pPr>
    <w:r>
      <w:rPr>
        <w:noProof/>
      </w:rPr>
      <w:drawing>
        <wp:anchor distT="0" distB="0" distL="114300" distR="114300" simplePos="0" relativeHeight="251658240" behindDoc="0" locked="0" layoutInCell="1" allowOverlap="1" wp14:anchorId="263435B0" wp14:editId="3BFC7349">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p w14:paraId="326C364B" w14:textId="77777777" w:rsidR="00BF3CD7" w:rsidRDefault="00BF3CD7"/>
  <w:p w14:paraId="5FE48EB2" w14:textId="77777777" w:rsidR="00BF3CD7" w:rsidRDefault="00BF3C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6805" w14:textId="7724AECC" w:rsidR="00BF3CD7" w:rsidRDefault="00BF3CD7">
    <w:pPr>
      <w:pStyle w:val="Header"/>
    </w:pPr>
  </w:p>
  <w:p w14:paraId="758D57C3" w14:textId="77777777" w:rsidR="00BF3CD7" w:rsidRDefault="00BF3CD7"/>
  <w:p w14:paraId="488EA902" w14:textId="77777777" w:rsidR="00BF3CD7" w:rsidRPr="000F0764" w:rsidRDefault="00BF3CD7" w:rsidP="00FE1620">
    <w:pPr>
      <w:rPr>
        <w:rFonts w:ascii="Lato" w:hAnsi="Lato"/>
        <w:b/>
        <w:bCs/>
      </w:rPr>
    </w:pPr>
    <w:r>
      <w:rPr>
        <w:rFonts w:ascii="Lato" w:hAnsi="Lato"/>
        <w:b/>
        <w:bCs/>
        <w:highlight w:val="lightGray"/>
      </w:rPr>
      <w:t>[</w:t>
    </w:r>
    <w:r w:rsidRPr="00D863A5">
      <w:rPr>
        <w:rFonts w:ascii="Lato" w:hAnsi="Lato"/>
        <w:b/>
        <w:bCs/>
        <w:highlight w:val="lightGray"/>
      </w:rPr>
      <w:t xml:space="preserve">insert </w:t>
    </w:r>
    <w:r>
      <w:rPr>
        <w:rFonts w:ascii="Lato" w:hAnsi="Lato"/>
        <w:b/>
        <w:bCs/>
        <w:highlight w:val="lightGray"/>
      </w:rPr>
      <w:t>your company</w:t>
    </w:r>
    <w:r w:rsidRPr="00D863A5">
      <w:rPr>
        <w:rFonts w:ascii="Lato" w:hAnsi="Lato"/>
        <w:b/>
        <w:bCs/>
        <w:highlight w:val="lightGray"/>
      </w:rPr>
      <w:t xml:space="preserve"> logo here if you wish</w:t>
    </w:r>
    <w:r w:rsidRPr="00907580">
      <w:rPr>
        <w:rFonts w:ascii="Lato" w:hAnsi="Lato"/>
        <w:b/>
        <w:bCs/>
        <w:highlight w:val="lightGray"/>
      </w:rPr>
      <w:t>]</w:t>
    </w:r>
  </w:p>
  <w:p w14:paraId="4A6CCCC6" w14:textId="77777777" w:rsidR="00BF3CD7" w:rsidRDefault="00BF3CD7" w:rsidP="00FE1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DC2AFF"/>
    <w:multiLevelType w:val="hybridMultilevel"/>
    <w:tmpl w:val="ABC4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C2D84"/>
    <w:multiLevelType w:val="hybridMultilevel"/>
    <w:tmpl w:val="D250DA6E"/>
    <w:lvl w:ilvl="0" w:tplc="2C9CC674">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F17F4"/>
    <w:multiLevelType w:val="hybridMultilevel"/>
    <w:tmpl w:val="C952D2F8"/>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0809000F" w:tentative="1">
      <w:start w:val="1"/>
      <w:numFmt w:val="decimal"/>
      <w:lvlText w:val="%4."/>
      <w:lvlJc w:val="left"/>
      <w:pPr>
        <w:tabs>
          <w:tab w:val="num" w:pos="5073"/>
        </w:tabs>
        <w:ind w:left="5073" w:hanging="360"/>
      </w:p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5" w15:restartNumberingAfterBreak="0">
    <w:nsid w:val="12087CFC"/>
    <w:multiLevelType w:val="hybridMultilevel"/>
    <w:tmpl w:val="3CD4F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87EE2"/>
    <w:multiLevelType w:val="hybridMultilevel"/>
    <w:tmpl w:val="F70054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4A4ACC"/>
    <w:multiLevelType w:val="hybridMultilevel"/>
    <w:tmpl w:val="F426E50A"/>
    <w:lvl w:ilvl="0" w:tplc="0A0A8090">
      <w:start w:val="9"/>
      <w:numFmt w:val="lowerLetter"/>
      <w:lvlText w:val="(%1)"/>
      <w:lvlJc w:val="left"/>
      <w:pPr>
        <w:tabs>
          <w:tab w:val="num" w:pos="3764"/>
        </w:tabs>
        <w:ind w:left="3764" w:hanging="360"/>
      </w:pPr>
      <w:rPr>
        <w:rFonts w:hint="default"/>
      </w:rPr>
    </w:lvl>
    <w:lvl w:ilvl="1" w:tplc="61D811D8">
      <w:start w:val="2"/>
      <w:numFmt w:val="lowerRoman"/>
      <w:lvlText w:val="(%2)"/>
      <w:lvlJc w:val="left"/>
      <w:pPr>
        <w:tabs>
          <w:tab w:val="num" w:pos="4844"/>
        </w:tabs>
        <w:ind w:left="4844" w:hanging="720"/>
      </w:pPr>
      <w:rPr>
        <w:rFonts w:hint="default"/>
      </w:rPr>
    </w:lvl>
    <w:lvl w:ilvl="2" w:tplc="0809001B" w:tentative="1">
      <w:start w:val="1"/>
      <w:numFmt w:val="lowerRoman"/>
      <w:lvlText w:val="%3."/>
      <w:lvlJc w:val="right"/>
      <w:pPr>
        <w:tabs>
          <w:tab w:val="num" w:pos="5204"/>
        </w:tabs>
        <w:ind w:left="5204" w:hanging="180"/>
      </w:pPr>
    </w:lvl>
    <w:lvl w:ilvl="3" w:tplc="0809000F" w:tentative="1">
      <w:start w:val="1"/>
      <w:numFmt w:val="decimal"/>
      <w:lvlText w:val="%4."/>
      <w:lvlJc w:val="left"/>
      <w:pPr>
        <w:tabs>
          <w:tab w:val="num" w:pos="5924"/>
        </w:tabs>
        <w:ind w:left="5924" w:hanging="360"/>
      </w:pPr>
    </w:lvl>
    <w:lvl w:ilvl="4" w:tplc="08090019" w:tentative="1">
      <w:start w:val="1"/>
      <w:numFmt w:val="lowerLetter"/>
      <w:lvlText w:val="%5."/>
      <w:lvlJc w:val="left"/>
      <w:pPr>
        <w:tabs>
          <w:tab w:val="num" w:pos="6644"/>
        </w:tabs>
        <w:ind w:left="6644" w:hanging="360"/>
      </w:pPr>
    </w:lvl>
    <w:lvl w:ilvl="5" w:tplc="0809001B" w:tentative="1">
      <w:start w:val="1"/>
      <w:numFmt w:val="lowerRoman"/>
      <w:lvlText w:val="%6."/>
      <w:lvlJc w:val="right"/>
      <w:pPr>
        <w:tabs>
          <w:tab w:val="num" w:pos="7364"/>
        </w:tabs>
        <w:ind w:left="7364" w:hanging="180"/>
      </w:pPr>
    </w:lvl>
    <w:lvl w:ilvl="6" w:tplc="0809000F" w:tentative="1">
      <w:start w:val="1"/>
      <w:numFmt w:val="decimal"/>
      <w:lvlText w:val="%7."/>
      <w:lvlJc w:val="left"/>
      <w:pPr>
        <w:tabs>
          <w:tab w:val="num" w:pos="8084"/>
        </w:tabs>
        <w:ind w:left="8084" w:hanging="360"/>
      </w:pPr>
    </w:lvl>
    <w:lvl w:ilvl="7" w:tplc="08090019" w:tentative="1">
      <w:start w:val="1"/>
      <w:numFmt w:val="lowerLetter"/>
      <w:lvlText w:val="%8."/>
      <w:lvlJc w:val="left"/>
      <w:pPr>
        <w:tabs>
          <w:tab w:val="num" w:pos="8804"/>
        </w:tabs>
        <w:ind w:left="8804" w:hanging="360"/>
      </w:pPr>
    </w:lvl>
    <w:lvl w:ilvl="8" w:tplc="0809001B" w:tentative="1">
      <w:start w:val="1"/>
      <w:numFmt w:val="lowerRoman"/>
      <w:lvlText w:val="%9."/>
      <w:lvlJc w:val="right"/>
      <w:pPr>
        <w:tabs>
          <w:tab w:val="num" w:pos="9524"/>
        </w:tabs>
        <w:ind w:left="9524" w:hanging="180"/>
      </w:pPr>
    </w:lvl>
  </w:abstractNum>
  <w:abstractNum w:abstractNumId="8" w15:restartNumberingAfterBreak="0">
    <w:nsid w:val="14791BF3"/>
    <w:multiLevelType w:val="hybridMultilevel"/>
    <w:tmpl w:val="49AA7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30A1B"/>
    <w:multiLevelType w:val="hybridMultilevel"/>
    <w:tmpl w:val="D49ABB4E"/>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A14CB8"/>
    <w:multiLevelType w:val="hybridMultilevel"/>
    <w:tmpl w:val="2078E2D6"/>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233231"/>
    <w:multiLevelType w:val="hybridMultilevel"/>
    <w:tmpl w:val="810AF6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40486F"/>
    <w:multiLevelType w:val="multilevel"/>
    <w:tmpl w:val="3196A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2832EA"/>
    <w:multiLevelType w:val="hybridMultilevel"/>
    <w:tmpl w:val="5196521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803963"/>
    <w:multiLevelType w:val="hybridMultilevel"/>
    <w:tmpl w:val="8FD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73EB7"/>
    <w:multiLevelType w:val="hybridMultilevel"/>
    <w:tmpl w:val="E6C23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C1603"/>
    <w:multiLevelType w:val="hybridMultilevel"/>
    <w:tmpl w:val="642ED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4840B2"/>
    <w:multiLevelType w:val="multilevel"/>
    <w:tmpl w:val="6D4090F6"/>
    <w:lvl w:ilvl="0">
      <w:start w:val="3"/>
      <w:numFmt w:val="decimal"/>
      <w:lvlText w:val="%1."/>
      <w:lvlJc w:val="left"/>
      <w:pPr>
        <w:tabs>
          <w:tab w:val="num" w:pos="360"/>
        </w:tabs>
        <w:ind w:left="360" w:hanging="360"/>
      </w:pPr>
      <w:rPr>
        <w:rFonts w:hint="default"/>
        <w:b w:val="0"/>
        <w:bCs/>
        <w:i w:val="0"/>
      </w:rPr>
    </w:lvl>
    <w:lvl w:ilvl="1">
      <w:start w:val="1"/>
      <w:numFmt w:val="decimal"/>
      <w:lvlText w:val="%1.%2."/>
      <w:lvlJc w:val="left"/>
      <w:pPr>
        <w:tabs>
          <w:tab w:val="num" w:pos="1134"/>
        </w:tabs>
        <w:ind w:left="907" w:firstLine="227"/>
      </w:pPr>
      <w:rPr>
        <w:rFonts w:asciiTheme="minorHAnsi" w:hAnsiTheme="minorHAnsi" w:hint="default"/>
        <w:b w:val="0"/>
        <w:i w:val="0"/>
        <w:sz w:val="22"/>
        <w:szCs w:val="22"/>
      </w:rPr>
    </w:lvl>
    <w:lvl w:ilvl="2">
      <w:start w:val="1"/>
      <w:numFmt w:val="decimal"/>
      <w:lvlText w:val="%1.%2.%3."/>
      <w:lvlJc w:val="left"/>
      <w:pPr>
        <w:tabs>
          <w:tab w:val="num" w:pos="1224"/>
        </w:tabs>
        <w:ind w:left="1871"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0846FC0"/>
    <w:multiLevelType w:val="hybridMultilevel"/>
    <w:tmpl w:val="EC8EB09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C4BB2"/>
    <w:multiLevelType w:val="multilevel"/>
    <w:tmpl w:val="178A4D6A"/>
    <w:lvl w:ilvl="0">
      <w:start w:val="1"/>
      <w:numFmt w:val="decimal"/>
      <w:lvlText w:val="%1."/>
      <w:lvlJc w:val="left"/>
      <w:pPr>
        <w:tabs>
          <w:tab w:val="num" w:pos="502"/>
        </w:tabs>
        <w:ind w:left="502" w:hanging="360"/>
      </w:pPr>
    </w:lvl>
    <w:lvl w:ilvl="1">
      <w:start w:val="1"/>
      <w:numFmt w:val="decimal"/>
      <w:lvlText w:val="%1.%2."/>
      <w:lvlJc w:val="left"/>
      <w:pPr>
        <w:tabs>
          <w:tab w:val="num" w:pos="1247"/>
        </w:tabs>
        <w:ind w:left="1701" w:hanging="454"/>
      </w:pPr>
      <w:rPr>
        <w:b w:val="0"/>
        <w:i w:val="0"/>
      </w:rPr>
    </w:lvl>
    <w:lvl w:ilvl="2">
      <w:start w:val="1"/>
      <w:numFmt w:val="decimal"/>
      <w:lvlText w:val="%1.%2.%3."/>
      <w:lvlJc w:val="left"/>
      <w:pPr>
        <w:tabs>
          <w:tab w:val="num" w:pos="1440"/>
        </w:tabs>
        <w:ind w:left="1985" w:hanging="851"/>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674480B"/>
    <w:multiLevelType w:val="hybridMultilevel"/>
    <w:tmpl w:val="BB8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55C0A"/>
    <w:multiLevelType w:val="hybridMultilevel"/>
    <w:tmpl w:val="753AB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6F2052"/>
    <w:multiLevelType w:val="hybridMultilevel"/>
    <w:tmpl w:val="E21614EA"/>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1D0473"/>
    <w:multiLevelType w:val="hybridMultilevel"/>
    <w:tmpl w:val="ED5466AA"/>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5E6271"/>
    <w:multiLevelType w:val="hybridMultilevel"/>
    <w:tmpl w:val="F91EA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54420F"/>
    <w:multiLevelType w:val="hybridMultilevel"/>
    <w:tmpl w:val="E31A1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02A3A"/>
    <w:multiLevelType w:val="hybridMultilevel"/>
    <w:tmpl w:val="797C2C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DB2BE2"/>
    <w:multiLevelType w:val="multilevel"/>
    <w:tmpl w:val="7B6E9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A3E28"/>
    <w:multiLevelType w:val="hybridMultilevel"/>
    <w:tmpl w:val="5D3881F4"/>
    <w:lvl w:ilvl="0" w:tplc="4B6498EE">
      <w:start w:val="1"/>
      <w:numFmt w:val="decimal"/>
      <w:lvlText w:val="(%1)"/>
      <w:lvlJc w:val="left"/>
      <w:pPr>
        <w:tabs>
          <w:tab w:val="num" w:pos="720"/>
        </w:tabs>
        <w:ind w:left="720" w:hanging="720"/>
      </w:pPr>
      <w:rPr>
        <w:rFonts w:hint="default"/>
      </w:rPr>
    </w:lvl>
    <w:lvl w:ilvl="1" w:tplc="CA440722">
      <w:start w:val="1"/>
      <w:numFmt w:val="upperLetter"/>
      <w:lvlText w:val="(%2)"/>
      <w:lvlJc w:val="left"/>
      <w:pPr>
        <w:tabs>
          <w:tab w:val="num" w:pos="1155"/>
        </w:tabs>
        <w:ind w:left="1155" w:hanging="435"/>
      </w:pPr>
      <w:rPr>
        <w:rFonts w:hint="default"/>
      </w:rPr>
    </w:lvl>
    <w:lvl w:ilvl="2" w:tplc="4B6498EE">
      <w:start w:val="1"/>
      <w:numFmt w:val="decimal"/>
      <w:lvlText w:val="(%3)"/>
      <w:lvlJc w:val="left"/>
      <w:pPr>
        <w:tabs>
          <w:tab w:val="num" w:pos="2340"/>
        </w:tabs>
        <w:ind w:left="2340" w:hanging="720"/>
      </w:pPr>
      <w:rPr>
        <w:rFonts w:hint="default"/>
      </w:rPr>
    </w:lvl>
    <w:lvl w:ilvl="3" w:tplc="E3EA1AE4">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E9ACF072">
      <w:start w:val="8"/>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00350AB"/>
    <w:multiLevelType w:val="hybridMultilevel"/>
    <w:tmpl w:val="076409A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35141F"/>
    <w:multiLevelType w:val="hybridMultilevel"/>
    <w:tmpl w:val="D7C672E6"/>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CA25FA"/>
    <w:multiLevelType w:val="hybridMultilevel"/>
    <w:tmpl w:val="0F14F132"/>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A8F6AE1"/>
    <w:multiLevelType w:val="hybridMultilevel"/>
    <w:tmpl w:val="F98AD8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3" w15:restartNumberingAfterBreak="0">
    <w:nsid w:val="5D2D56A0"/>
    <w:multiLevelType w:val="hybridMultilevel"/>
    <w:tmpl w:val="18F4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044993"/>
    <w:multiLevelType w:val="hybridMultilevel"/>
    <w:tmpl w:val="AC5A6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36" w15:restartNumberingAfterBreak="0">
    <w:nsid w:val="62F05E0A"/>
    <w:multiLevelType w:val="hybridMultilevel"/>
    <w:tmpl w:val="7BE4707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DB025F"/>
    <w:multiLevelType w:val="hybridMultilevel"/>
    <w:tmpl w:val="DD220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4C3C14"/>
    <w:multiLevelType w:val="hybridMultilevel"/>
    <w:tmpl w:val="FCCE03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9" w15:restartNumberingAfterBreak="0">
    <w:nsid w:val="75994895"/>
    <w:multiLevelType w:val="hybridMultilevel"/>
    <w:tmpl w:val="6C2E8B2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0438C2"/>
    <w:multiLevelType w:val="hybridMultilevel"/>
    <w:tmpl w:val="418A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043D6"/>
    <w:multiLevelType w:val="multilevel"/>
    <w:tmpl w:val="174E8B8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B46B83"/>
    <w:multiLevelType w:val="hybridMultilevel"/>
    <w:tmpl w:val="E786AF1A"/>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34573">
    <w:abstractNumId w:val="3"/>
  </w:num>
  <w:num w:numId="2" w16cid:durableId="1746494557">
    <w:abstractNumId w:val="0"/>
  </w:num>
  <w:num w:numId="3" w16cid:durableId="405148955">
    <w:abstractNumId w:val="28"/>
  </w:num>
  <w:num w:numId="4" w16cid:durableId="1570536493">
    <w:abstractNumId w:val="4"/>
  </w:num>
  <w:num w:numId="5" w16cid:durableId="1927155209">
    <w:abstractNumId w:val="7"/>
  </w:num>
  <w:num w:numId="6" w16cid:durableId="1771969085">
    <w:abstractNumId w:val="35"/>
  </w:num>
  <w:num w:numId="7" w16cid:durableId="651059013">
    <w:abstractNumId w:val="20"/>
  </w:num>
  <w:num w:numId="8" w16cid:durableId="977035691">
    <w:abstractNumId w:val="21"/>
  </w:num>
  <w:num w:numId="9" w16cid:durableId="693776178">
    <w:abstractNumId w:val="40"/>
  </w:num>
  <w:num w:numId="10" w16cid:durableId="333728104">
    <w:abstractNumId w:val="25"/>
  </w:num>
  <w:num w:numId="11" w16cid:durableId="59983831">
    <w:abstractNumId w:val="14"/>
  </w:num>
  <w:num w:numId="12" w16cid:durableId="650208561">
    <w:abstractNumId w:val="37"/>
  </w:num>
  <w:num w:numId="13" w16cid:durableId="688024429">
    <w:abstractNumId w:val="33"/>
  </w:num>
  <w:num w:numId="14" w16cid:durableId="2007826790">
    <w:abstractNumId w:val="18"/>
  </w:num>
  <w:num w:numId="15" w16cid:durableId="580799787">
    <w:abstractNumId w:val="23"/>
  </w:num>
  <w:num w:numId="16" w16cid:durableId="588657485">
    <w:abstractNumId w:val="12"/>
  </w:num>
  <w:num w:numId="17" w16cid:durableId="1385373673">
    <w:abstractNumId w:val="17"/>
  </w:num>
  <w:num w:numId="18" w16cid:durableId="154542244">
    <w:abstractNumId w:val="41"/>
  </w:num>
  <w:num w:numId="19" w16cid:durableId="971978447">
    <w:abstractNumId w:val="10"/>
  </w:num>
  <w:num w:numId="20" w16cid:durableId="1097946097">
    <w:abstractNumId w:val="36"/>
  </w:num>
  <w:num w:numId="21" w16cid:durableId="493451745">
    <w:abstractNumId w:val="39"/>
  </w:num>
  <w:num w:numId="22" w16cid:durableId="123475088">
    <w:abstractNumId w:val="34"/>
  </w:num>
  <w:num w:numId="23" w16cid:durableId="881941614">
    <w:abstractNumId w:val="22"/>
  </w:num>
  <w:num w:numId="24" w16cid:durableId="996810671">
    <w:abstractNumId w:val="15"/>
  </w:num>
  <w:num w:numId="25" w16cid:durableId="1220559354">
    <w:abstractNumId w:val="1"/>
  </w:num>
  <w:num w:numId="26" w16cid:durableId="2139057278">
    <w:abstractNumId w:val="29"/>
  </w:num>
  <w:num w:numId="27" w16cid:durableId="1522740051">
    <w:abstractNumId w:val="31"/>
  </w:num>
  <w:num w:numId="28" w16cid:durableId="320353790">
    <w:abstractNumId w:val="9"/>
  </w:num>
  <w:num w:numId="29" w16cid:durableId="1067534165">
    <w:abstractNumId w:val="30"/>
  </w:num>
  <w:num w:numId="30" w16cid:durableId="2043633261">
    <w:abstractNumId w:val="13"/>
  </w:num>
  <w:num w:numId="31" w16cid:durableId="812796471">
    <w:abstractNumId w:val="42"/>
  </w:num>
  <w:num w:numId="32" w16cid:durableId="410083100">
    <w:abstractNumId w:val="8"/>
  </w:num>
  <w:num w:numId="33" w16cid:durableId="940261142">
    <w:abstractNumId w:val="16"/>
  </w:num>
  <w:num w:numId="34" w16cid:durableId="121309999">
    <w:abstractNumId w:val="32"/>
  </w:num>
  <w:num w:numId="35" w16cid:durableId="361514838">
    <w:abstractNumId w:val="24"/>
  </w:num>
  <w:num w:numId="36" w16cid:durableId="271671494">
    <w:abstractNumId w:val="6"/>
  </w:num>
  <w:num w:numId="37" w16cid:durableId="1878273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3790144">
    <w:abstractNumId w:val="5"/>
  </w:num>
  <w:num w:numId="39" w16cid:durableId="1606692854">
    <w:abstractNumId w:val="11"/>
  </w:num>
  <w:num w:numId="40" w16cid:durableId="1041251799">
    <w:abstractNumId w:val="2"/>
  </w:num>
  <w:num w:numId="41" w16cid:durableId="1279068607">
    <w:abstractNumId w:val="27"/>
  </w:num>
  <w:num w:numId="42" w16cid:durableId="1855533647">
    <w:abstractNumId w:val="26"/>
  </w:num>
  <w:num w:numId="43" w16cid:durableId="1992175258">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7"/>
    <w:rsid w:val="00000C8C"/>
    <w:rsid w:val="00013516"/>
    <w:rsid w:val="00016D33"/>
    <w:rsid w:val="000221FE"/>
    <w:rsid w:val="00030DF8"/>
    <w:rsid w:val="00031182"/>
    <w:rsid w:val="00037C84"/>
    <w:rsid w:val="00040416"/>
    <w:rsid w:val="00041059"/>
    <w:rsid w:val="00041140"/>
    <w:rsid w:val="00041507"/>
    <w:rsid w:val="000416D9"/>
    <w:rsid w:val="00046C0B"/>
    <w:rsid w:val="00050EB0"/>
    <w:rsid w:val="00051768"/>
    <w:rsid w:val="0005568D"/>
    <w:rsid w:val="000556A5"/>
    <w:rsid w:val="00056BA5"/>
    <w:rsid w:val="000618EF"/>
    <w:rsid w:val="00065D5F"/>
    <w:rsid w:val="00066DFC"/>
    <w:rsid w:val="000767D4"/>
    <w:rsid w:val="000834C5"/>
    <w:rsid w:val="00084EBB"/>
    <w:rsid w:val="000872E2"/>
    <w:rsid w:val="000A401B"/>
    <w:rsid w:val="000A5C1B"/>
    <w:rsid w:val="000B0033"/>
    <w:rsid w:val="000B1664"/>
    <w:rsid w:val="000C0E31"/>
    <w:rsid w:val="000C4F9B"/>
    <w:rsid w:val="000C5025"/>
    <w:rsid w:val="000C51EB"/>
    <w:rsid w:val="000D4054"/>
    <w:rsid w:val="000E4476"/>
    <w:rsid w:val="000E524C"/>
    <w:rsid w:val="00102089"/>
    <w:rsid w:val="0010609A"/>
    <w:rsid w:val="001109F3"/>
    <w:rsid w:val="001126DA"/>
    <w:rsid w:val="00116B48"/>
    <w:rsid w:val="0012775A"/>
    <w:rsid w:val="00132E60"/>
    <w:rsid w:val="001470FD"/>
    <w:rsid w:val="00151B3E"/>
    <w:rsid w:val="0015488F"/>
    <w:rsid w:val="00160FE2"/>
    <w:rsid w:val="00161019"/>
    <w:rsid w:val="00164CE8"/>
    <w:rsid w:val="001676B8"/>
    <w:rsid w:val="0017393A"/>
    <w:rsid w:val="0019235A"/>
    <w:rsid w:val="00192530"/>
    <w:rsid w:val="001947BD"/>
    <w:rsid w:val="001A2439"/>
    <w:rsid w:val="001A762E"/>
    <w:rsid w:val="001B0081"/>
    <w:rsid w:val="001B4B87"/>
    <w:rsid w:val="001C1C11"/>
    <w:rsid w:val="001C35DF"/>
    <w:rsid w:val="001C3C6E"/>
    <w:rsid w:val="001D49BF"/>
    <w:rsid w:val="001D7874"/>
    <w:rsid w:val="001D792E"/>
    <w:rsid w:val="001E030D"/>
    <w:rsid w:val="001E36D5"/>
    <w:rsid w:val="001E644E"/>
    <w:rsid w:val="001E6E2E"/>
    <w:rsid w:val="001E737E"/>
    <w:rsid w:val="001F0E7A"/>
    <w:rsid w:val="001F2657"/>
    <w:rsid w:val="001F7073"/>
    <w:rsid w:val="002115EB"/>
    <w:rsid w:val="00213EE0"/>
    <w:rsid w:val="00220FE6"/>
    <w:rsid w:val="002241C5"/>
    <w:rsid w:val="00224A1E"/>
    <w:rsid w:val="00226B21"/>
    <w:rsid w:val="002276A1"/>
    <w:rsid w:val="00227809"/>
    <w:rsid w:val="002339F4"/>
    <w:rsid w:val="0025105E"/>
    <w:rsid w:val="002541EE"/>
    <w:rsid w:val="00256FEE"/>
    <w:rsid w:val="00261217"/>
    <w:rsid w:val="00262BC7"/>
    <w:rsid w:val="0026659C"/>
    <w:rsid w:val="00274EAD"/>
    <w:rsid w:val="002750D8"/>
    <w:rsid w:val="0027541B"/>
    <w:rsid w:val="00287AD2"/>
    <w:rsid w:val="00287AEF"/>
    <w:rsid w:val="002908E4"/>
    <w:rsid w:val="002A266A"/>
    <w:rsid w:val="002A2787"/>
    <w:rsid w:val="002B001C"/>
    <w:rsid w:val="002B0488"/>
    <w:rsid w:val="002C0D3D"/>
    <w:rsid w:val="002C2D20"/>
    <w:rsid w:val="002C3046"/>
    <w:rsid w:val="002C6422"/>
    <w:rsid w:val="002C6F63"/>
    <w:rsid w:val="002D0AB5"/>
    <w:rsid w:val="002D499C"/>
    <w:rsid w:val="002D6728"/>
    <w:rsid w:val="002E063B"/>
    <w:rsid w:val="002E61B9"/>
    <w:rsid w:val="002E6284"/>
    <w:rsid w:val="002F6C67"/>
    <w:rsid w:val="00304D2E"/>
    <w:rsid w:val="00310BAA"/>
    <w:rsid w:val="00313511"/>
    <w:rsid w:val="003221A1"/>
    <w:rsid w:val="003224C6"/>
    <w:rsid w:val="00337203"/>
    <w:rsid w:val="00351A2B"/>
    <w:rsid w:val="003536DB"/>
    <w:rsid w:val="0035777D"/>
    <w:rsid w:val="00363DDD"/>
    <w:rsid w:val="003646CD"/>
    <w:rsid w:val="00367235"/>
    <w:rsid w:val="00374E6F"/>
    <w:rsid w:val="003754B1"/>
    <w:rsid w:val="003756CF"/>
    <w:rsid w:val="00375AD4"/>
    <w:rsid w:val="00380D5A"/>
    <w:rsid w:val="00385CA0"/>
    <w:rsid w:val="00387D8D"/>
    <w:rsid w:val="00395958"/>
    <w:rsid w:val="003A225B"/>
    <w:rsid w:val="003B1DB2"/>
    <w:rsid w:val="003B261B"/>
    <w:rsid w:val="003B7BE0"/>
    <w:rsid w:val="003C0C42"/>
    <w:rsid w:val="003C2A1D"/>
    <w:rsid w:val="003D0884"/>
    <w:rsid w:val="003D275C"/>
    <w:rsid w:val="003E224D"/>
    <w:rsid w:val="003E5F1A"/>
    <w:rsid w:val="003E7CF5"/>
    <w:rsid w:val="003F02F9"/>
    <w:rsid w:val="003F2FC3"/>
    <w:rsid w:val="003F5F41"/>
    <w:rsid w:val="003F7CDF"/>
    <w:rsid w:val="004012E6"/>
    <w:rsid w:val="00403FB7"/>
    <w:rsid w:val="00412758"/>
    <w:rsid w:val="004141F3"/>
    <w:rsid w:val="004163F9"/>
    <w:rsid w:val="00417E83"/>
    <w:rsid w:val="00424D5F"/>
    <w:rsid w:val="004303E8"/>
    <w:rsid w:val="004564BD"/>
    <w:rsid w:val="0046324C"/>
    <w:rsid w:val="0046380B"/>
    <w:rsid w:val="004656D4"/>
    <w:rsid w:val="00466122"/>
    <w:rsid w:val="004739EF"/>
    <w:rsid w:val="00476DAA"/>
    <w:rsid w:val="00480491"/>
    <w:rsid w:val="00491D20"/>
    <w:rsid w:val="00491EE3"/>
    <w:rsid w:val="004944C4"/>
    <w:rsid w:val="00494570"/>
    <w:rsid w:val="00497A95"/>
    <w:rsid w:val="004A0047"/>
    <w:rsid w:val="004A6C32"/>
    <w:rsid w:val="004B48EC"/>
    <w:rsid w:val="004B4F78"/>
    <w:rsid w:val="004B56E6"/>
    <w:rsid w:val="004C497E"/>
    <w:rsid w:val="004C7733"/>
    <w:rsid w:val="004D14B9"/>
    <w:rsid w:val="004D42C1"/>
    <w:rsid w:val="004E33CC"/>
    <w:rsid w:val="004E5A41"/>
    <w:rsid w:val="004F4DE5"/>
    <w:rsid w:val="004F53F0"/>
    <w:rsid w:val="004F7EED"/>
    <w:rsid w:val="005173E8"/>
    <w:rsid w:val="0052172B"/>
    <w:rsid w:val="00524425"/>
    <w:rsid w:val="00527771"/>
    <w:rsid w:val="00530FDF"/>
    <w:rsid w:val="0053139A"/>
    <w:rsid w:val="00533BA9"/>
    <w:rsid w:val="00544521"/>
    <w:rsid w:val="00551759"/>
    <w:rsid w:val="00552450"/>
    <w:rsid w:val="00565287"/>
    <w:rsid w:val="00576341"/>
    <w:rsid w:val="00580080"/>
    <w:rsid w:val="00580FA7"/>
    <w:rsid w:val="00586569"/>
    <w:rsid w:val="005914AA"/>
    <w:rsid w:val="00592AB7"/>
    <w:rsid w:val="00593E64"/>
    <w:rsid w:val="005A24D6"/>
    <w:rsid w:val="005B0410"/>
    <w:rsid w:val="005B2A3A"/>
    <w:rsid w:val="005B7EC0"/>
    <w:rsid w:val="005C1C82"/>
    <w:rsid w:val="005E18CC"/>
    <w:rsid w:val="005E2924"/>
    <w:rsid w:val="005E361C"/>
    <w:rsid w:val="00605733"/>
    <w:rsid w:val="00607C40"/>
    <w:rsid w:val="006102A9"/>
    <w:rsid w:val="006162E8"/>
    <w:rsid w:val="00620CDE"/>
    <w:rsid w:val="0062487F"/>
    <w:rsid w:val="006248A4"/>
    <w:rsid w:val="00630287"/>
    <w:rsid w:val="00631BAF"/>
    <w:rsid w:val="00631D75"/>
    <w:rsid w:val="0066081C"/>
    <w:rsid w:val="00661B5F"/>
    <w:rsid w:val="00663AEE"/>
    <w:rsid w:val="0066501F"/>
    <w:rsid w:val="006659E6"/>
    <w:rsid w:val="00671936"/>
    <w:rsid w:val="00676728"/>
    <w:rsid w:val="006778B9"/>
    <w:rsid w:val="006849F6"/>
    <w:rsid w:val="00685BDA"/>
    <w:rsid w:val="00690640"/>
    <w:rsid w:val="006A0F2C"/>
    <w:rsid w:val="006A14CD"/>
    <w:rsid w:val="006A65D9"/>
    <w:rsid w:val="006A6CA1"/>
    <w:rsid w:val="006B619F"/>
    <w:rsid w:val="006B665A"/>
    <w:rsid w:val="006C0907"/>
    <w:rsid w:val="006C1E69"/>
    <w:rsid w:val="006C2293"/>
    <w:rsid w:val="006C268A"/>
    <w:rsid w:val="006C34EA"/>
    <w:rsid w:val="006C72B1"/>
    <w:rsid w:val="006C7F02"/>
    <w:rsid w:val="006E0610"/>
    <w:rsid w:val="006F2347"/>
    <w:rsid w:val="006F4B12"/>
    <w:rsid w:val="00701CD1"/>
    <w:rsid w:val="007035C9"/>
    <w:rsid w:val="0070430B"/>
    <w:rsid w:val="00704B8D"/>
    <w:rsid w:val="00704C12"/>
    <w:rsid w:val="00704CBE"/>
    <w:rsid w:val="00705424"/>
    <w:rsid w:val="00713F87"/>
    <w:rsid w:val="00720D68"/>
    <w:rsid w:val="00723A41"/>
    <w:rsid w:val="00724687"/>
    <w:rsid w:val="00725576"/>
    <w:rsid w:val="00725AD0"/>
    <w:rsid w:val="007311D3"/>
    <w:rsid w:val="007343DF"/>
    <w:rsid w:val="0074134B"/>
    <w:rsid w:val="007421CC"/>
    <w:rsid w:val="00756E96"/>
    <w:rsid w:val="00757171"/>
    <w:rsid w:val="00757732"/>
    <w:rsid w:val="007626B0"/>
    <w:rsid w:val="007706CC"/>
    <w:rsid w:val="00771E29"/>
    <w:rsid w:val="0077390D"/>
    <w:rsid w:val="0077543A"/>
    <w:rsid w:val="00781BE5"/>
    <w:rsid w:val="0078260B"/>
    <w:rsid w:val="007831B9"/>
    <w:rsid w:val="00783F1B"/>
    <w:rsid w:val="0078402D"/>
    <w:rsid w:val="00793F1D"/>
    <w:rsid w:val="00797199"/>
    <w:rsid w:val="007A08E0"/>
    <w:rsid w:val="007A2874"/>
    <w:rsid w:val="007A5FF9"/>
    <w:rsid w:val="007B1553"/>
    <w:rsid w:val="007B1CEA"/>
    <w:rsid w:val="007B3FCB"/>
    <w:rsid w:val="007C698D"/>
    <w:rsid w:val="007C7D90"/>
    <w:rsid w:val="007D144A"/>
    <w:rsid w:val="007D2B37"/>
    <w:rsid w:val="007D471F"/>
    <w:rsid w:val="007E50B5"/>
    <w:rsid w:val="007E5BBC"/>
    <w:rsid w:val="007F0049"/>
    <w:rsid w:val="007F19F0"/>
    <w:rsid w:val="007F5594"/>
    <w:rsid w:val="007F594F"/>
    <w:rsid w:val="0080216D"/>
    <w:rsid w:val="00802FF4"/>
    <w:rsid w:val="00803AD9"/>
    <w:rsid w:val="00810A05"/>
    <w:rsid w:val="00812AA7"/>
    <w:rsid w:val="008156A6"/>
    <w:rsid w:val="008159A0"/>
    <w:rsid w:val="00817426"/>
    <w:rsid w:val="0082051D"/>
    <w:rsid w:val="0082505D"/>
    <w:rsid w:val="00825F13"/>
    <w:rsid w:val="00847233"/>
    <w:rsid w:val="00847320"/>
    <w:rsid w:val="00851F1F"/>
    <w:rsid w:val="0085427F"/>
    <w:rsid w:val="00854829"/>
    <w:rsid w:val="00855F75"/>
    <w:rsid w:val="0086739E"/>
    <w:rsid w:val="00880FDD"/>
    <w:rsid w:val="00894AFE"/>
    <w:rsid w:val="008A0B21"/>
    <w:rsid w:val="008A74A8"/>
    <w:rsid w:val="008B51FD"/>
    <w:rsid w:val="008C30F6"/>
    <w:rsid w:val="008C43E0"/>
    <w:rsid w:val="008C537C"/>
    <w:rsid w:val="008D0E4B"/>
    <w:rsid w:val="008D2ED1"/>
    <w:rsid w:val="008D526F"/>
    <w:rsid w:val="008E05B2"/>
    <w:rsid w:val="008E6960"/>
    <w:rsid w:val="008E7E2C"/>
    <w:rsid w:val="008F24B5"/>
    <w:rsid w:val="008F2D62"/>
    <w:rsid w:val="008F6B99"/>
    <w:rsid w:val="0090263E"/>
    <w:rsid w:val="00902CE2"/>
    <w:rsid w:val="00910EBF"/>
    <w:rsid w:val="00911F0D"/>
    <w:rsid w:val="00916C31"/>
    <w:rsid w:val="00921ED5"/>
    <w:rsid w:val="009263EB"/>
    <w:rsid w:val="00932907"/>
    <w:rsid w:val="00936C78"/>
    <w:rsid w:val="00941530"/>
    <w:rsid w:val="00947ABB"/>
    <w:rsid w:val="0096044D"/>
    <w:rsid w:val="00960976"/>
    <w:rsid w:val="00961B47"/>
    <w:rsid w:val="009669FB"/>
    <w:rsid w:val="009674FE"/>
    <w:rsid w:val="00976BB0"/>
    <w:rsid w:val="00977DEF"/>
    <w:rsid w:val="00986248"/>
    <w:rsid w:val="00991725"/>
    <w:rsid w:val="0099210A"/>
    <w:rsid w:val="009A354A"/>
    <w:rsid w:val="009A36A7"/>
    <w:rsid w:val="009A47A4"/>
    <w:rsid w:val="009A5BE7"/>
    <w:rsid w:val="009A6D9D"/>
    <w:rsid w:val="009B0A18"/>
    <w:rsid w:val="009B4CF7"/>
    <w:rsid w:val="009B5229"/>
    <w:rsid w:val="009C0F86"/>
    <w:rsid w:val="009C2C9D"/>
    <w:rsid w:val="009C2D3F"/>
    <w:rsid w:val="009C3B53"/>
    <w:rsid w:val="009C6199"/>
    <w:rsid w:val="009D132E"/>
    <w:rsid w:val="009D2003"/>
    <w:rsid w:val="009D5FE1"/>
    <w:rsid w:val="009E042D"/>
    <w:rsid w:val="009E272B"/>
    <w:rsid w:val="009E2B2A"/>
    <w:rsid w:val="009F1E59"/>
    <w:rsid w:val="009F7407"/>
    <w:rsid w:val="009F7B63"/>
    <w:rsid w:val="00A072DE"/>
    <w:rsid w:val="00A116BD"/>
    <w:rsid w:val="00A11C1E"/>
    <w:rsid w:val="00A14D0B"/>
    <w:rsid w:val="00A212B3"/>
    <w:rsid w:val="00A22A0B"/>
    <w:rsid w:val="00A23781"/>
    <w:rsid w:val="00A27521"/>
    <w:rsid w:val="00A32CC0"/>
    <w:rsid w:val="00A34B41"/>
    <w:rsid w:val="00A36ADF"/>
    <w:rsid w:val="00A41F05"/>
    <w:rsid w:val="00A46FED"/>
    <w:rsid w:val="00A524BF"/>
    <w:rsid w:val="00A61656"/>
    <w:rsid w:val="00A62091"/>
    <w:rsid w:val="00A64157"/>
    <w:rsid w:val="00A6669F"/>
    <w:rsid w:val="00A7106C"/>
    <w:rsid w:val="00A77A38"/>
    <w:rsid w:val="00A81AD4"/>
    <w:rsid w:val="00A82ED3"/>
    <w:rsid w:val="00A84112"/>
    <w:rsid w:val="00AA142D"/>
    <w:rsid w:val="00AB280A"/>
    <w:rsid w:val="00AB2E54"/>
    <w:rsid w:val="00AB31EE"/>
    <w:rsid w:val="00AB46EF"/>
    <w:rsid w:val="00AB5EB4"/>
    <w:rsid w:val="00AB6725"/>
    <w:rsid w:val="00AB67F0"/>
    <w:rsid w:val="00AC74F5"/>
    <w:rsid w:val="00AC7571"/>
    <w:rsid w:val="00AD2A57"/>
    <w:rsid w:val="00AD6ABC"/>
    <w:rsid w:val="00AE1FB1"/>
    <w:rsid w:val="00AE5082"/>
    <w:rsid w:val="00AF0583"/>
    <w:rsid w:val="00AF3C8F"/>
    <w:rsid w:val="00B0331F"/>
    <w:rsid w:val="00B04FF8"/>
    <w:rsid w:val="00B06705"/>
    <w:rsid w:val="00B12A09"/>
    <w:rsid w:val="00B139AE"/>
    <w:rsid w:val="00B16A2C"/>
    <w:rsid w:val="00B2391F"/>
    <w:rsid w:val="00B25B42"/>
    <w:rsid w:val="00B2649F"/>
    <w:rsid w:val="00B31E5D"/>
    <w:rsid w:val="00B331EF"/>
    <w:rsid w:val="00B36A18"/>
    <w:rsid w:val="00B40C72"/>
    <w:rsid w:val="00B42F64"/>
    <w:rsid w:val="00B5122C"/>
    <w:rsid w:val="00B52538"/>
    <w:rsid w:val="00B538A9"/>
    <w:rsid w:val="00B56E8D"/>
    <w:rsid w:val="00B5714F"/>
    <w:rsid w:val="00B6205F"/>
    <w:rsid w:val="00B709B5"/>
    <w:rsid w:val="00B71943"/>
    <w:rsid w:val="00B71959"/>
    <w:rsid w:val="00B72E63"/>
    <w:rsid w:val="00B75104"/>
    <w:rsid w:val="00B759E6"/>
    <w:rsid w:val="00B82BFF"/>
    <w:rsid w:val="00B85836"/>
    <w:rsid w:val="00B85881"/>
    <w:rsid w:val="00B90011"/>
    <w:rsid w:val="00B96D36"/>
    <w:rsid w:val="00BA0377"/>
    <w:rsid w:val="00BA0385"/>
    <w:rsid w:val="00BA1EF6"/>
    <w:rsid w:val="00BA3648"/>
    <w:rsid w:val="00BA5FFF"/>
    <w:rsid w:val="00BC0BE3"/>
    <w:rsid w:val="00BC2580"/>
    <w:rsid w:val="00BD17B1"/>
    <w:rsid w:val="00BD2BF7"/>
    <w:rsid w:val="00BE3012"/>
    <w:rsid w:val="00BE6D70"/>
    <w:rsid w:val="00BF38E7"/>
    <w:rsid w:val="00BF3CD7"/>
    <w:rsid w:val="00C02AA5"/>
    <w:rsid w:val="00C12072"/>
    <w:rsid w:val="00C1248D"/>
    <w:rsid w:val="00C141A1"/>
    <w:rsid w:val="00C1431E"/>
    <w:rsid w:val="00C204A1"/>
    <w:rsid w:val="00C2556A"/>
    <w:rsid w:val="00C34448"/>
    <w:rsid w:val="00C36717"/>
    <w:rsid w:val="00C41AD0"/>
    <w:rsid w:val="00C556BE"/>
    <w:rsid w:val="00C56821"/>
    <w:rsid w:val="00C57EB6"/>
    <w:rsid w:val="00C60809"/>
    <w:rsid w:val="00C66570"/>
    <w:rsid w:val="00C66630"/>
    <w:rsid w:val="00C72AB3"/>
    <w:rsid w:val="00C74FEC"/>
    <w:rsid w:val="00C80C9B"/>
    <w:rsid w:val="00C85781"/>
    <w:rsid w:val="00C90E1F"/>
    <w:rsid w:val="00C933E3"/>
    <w:rsid w:val="00C95C35"/>
    <w:rsid w:val="00CA0EBA"/>
    <w:rsid w:val="00CA40E1"/>
    <w:rsid w:val="00CA56B5"/>
    <w:rsid w:val="00CA7186"/>
    <w:rsid w:val="00CB6FF0"/>
    <w:rsid w:val="00CC1252"/>
    <w:rsid w:val="00CC2BDE"/>
    <w:rsid w:val="00CC4E74"/>
    <w:rsid w:val="00CE2237"/>
    <w:rsid w:val="00CE51DD"/>
    <w:rsid w:val="00CE7445"/>
    <w:rsid w:val="00CF16C2"/>
    <w:rsid w:val="00CF7B06"/>
    <w:rsid w:val="00D03500"/>
    <w:rsid w:val="00D04A34"/>
    <w:rsid w:val="00D075B7"/>
    <w:rsid w:val="00D14605"/>
    <w:rsid w:val="00D20476"/>
    <w:rsid w:val="00D20C6B"/>
    <w:rsid w:val="00D30963"/>
    <w:rsid w:val="00D30D3C"/>
    <w:rsid w:val="00D40745"/>
    <w:rsid w:val="00D41014"/>
    <w:rsid w:val="00D42E8C"/>
    <w:rsid w:val="00D43591"/>
    <w:rsid w:val="00D471C6"/>
    <w:rsid w:val="00D6042E"/>
    <w:rsid w:val="00D70003"/>
    <w:rsid w:val="00D72527"/>
    <w:rsid w:val="00D752F4"/>
    <w:rsid w:val="00D80EE3"/>
    <w:rsid w:val="00D87876"/>
    <w:rsid w:val="00D90322"/>
    <w:rsid w:val="00D906E7"/>
    <w:rsid w:val="00D90843"/>
    <w:rsid w:val="00D93DC1"/>
    <w:rsid w:val="00D96AD0"/>
    <w:rsid w:val="00D96C6E"/>
    <w:rsid w:val="00DA00B6"/>
    <w:rsid w:val="00DA1414"/>
    <w:rsid w:val="00DA5F51"/>
    <w:rsid w:val="00DA6617"/>
    <w:rsid w:val="00DA7C5F"/>
    <w:rsid w:val="00DA7EFA"/>
    <w:rsid w:val="00DB129D"/>
    <w:rsid w:val="00DD1861"/>
    <w:rsid w:val="00DE2712"/>
    <w:rsid w:val="00DE5A4E"/>
    <w:rsid w:val="00DF0482"/>
    <w:rsid w:val="00DF04A8"/>
    <w:rsid w:val="00DF17BD"/>
    <w:rsid w:val="00DF37D0"/>
    <w:rsid w:val="00DF3BCA"/>
    <w:rsid w:val="00DF4AEB"/>
    <w:rsid w:val="00E04076"/>
    <w:rsid w:val="00E10604"/>
    <w:rsid w:val="00E11C56"/>
    <w:rsid w:val="00E126E4"/>
    <w:rsid w:val="00E143B5"/>
    <w:rsid w:val="00E314AA"/>
    <w:rsid w:val="00E3492A"/>
    <w:rsid w:val="00E41CB2"/>
    <w:rsid w:val="00E41F19"/>
    <w:rsid w:val="00E4202D"/>
    <w:rsid w:val="00E42577"/>
    <w:rsid w:val="00E4294B"/>
    <w:rsid w:val="00E43CCA"/>
    <w:rsid w:val="00E44F69"/>
    <w:rsid w:val="00E45140"/>
    <w:rsid w:val="00E47483"/>
    <w:rsid w:val="00E52618"/>
    <w:rsid w:val="00E53B29"/>
    <w:rsid w:val="00E55767"/>
    <w:rsid w:val="00E55D42"/>
    <w:rsid w:val="00E71AC6"/>
    <w:rsid w:val="00E72078"/>
    <w:rsid w:val="00E739D1"/>
    <w:rsid w:val="00E75334"/>
    <w:rsid w:val="00E76E49"/>
    <w:rsid w:val="00E76E8C"/>
    <w:rsid w:val="00E8410F"/>
    <w:rsid w:val="00E84824"/>
    <w:rsid w:val="00E947B1"/>
    <w:rsid w:val="00E952A7"/>
    <w:rsid w:val="00E97393"/>
    <w:rsid w:val="00EA01F9"/>
    <w:rsid w:val="00EA02EA"/>
    <w:rsid w:val="00EA12AD"/>
    <w:rsid w:val="00EA2B74"/>
    <w:rsid w:val="00EA6F0B"/>
    <w:rsid w:val="00EA748E"/>
    <w:rsid w:val="00EB4033"/>
    <w:rsid w:val="00EB5773"/>
    <w:rsid w:val="00EB5DBF"/>
    <w:rsid w:val="00EB65FA"/>
    <w:rsid w:val="00EB6691"/>
    <w:rsid w:val="00EC5A23"/>
    <w:rsid w:val="00ED0601"/>
    <w:rsid w:val="00ED0CB6"/>
    <w:rsid w:val="00ED2774"/>
    <w:rsid w:val="00EE13F9"/>
    <w:rsid w:val="00EE163B"/>
    <w:rsid w:val="00EE1901"/>
    <w:rsid w:val="00EF04AE"/>
    <w:rsid w:val="00EF666F"/>
    <w:rsid w:val="00F00DCF"/>
    <w:rsid w:val="00F018A1"/>
    <w:rsid w:val="00F02300"/>
    <w:rsid w:val="00F0637A"/>
    <w:rsid w:val="00F21DFF"/>
    <w:rsid w:val="00F22976"/>
    <w:rsid w:val="00F26303"/>
    <w:rsid w:val="00F27163"/>
    <w:rsid w:val="00F27405"/>
    <w:rsid w:val="00F34535"/>
    <w:rsid w:val="00F34B31"/>
    <w:rsid w:val="00F34B8F"/>
    <w:rsid w:val="00F34DC8"/>
    <w:rsid w:val="00F36857"/>
    <w:rsid w:val="00F4108A"/>
    <w:rsid w:val="00F42F90"/>
    <w:rsid w:val="00F636F9"/>
    <w:rsid w:val="00F63FCE"/>
    <w:rsid w:val="00F65E52"/>
    <w:rsid w:val="00F66175"/>
    <w:rsid w:val="00F73649"/>
    <w:rsid w:val="00F75FBD"/>
    <w:rsid w:val="00F77E5C"/>
    <w:rsid w:val="00F91FA6"/>
    <w:rsid w:val="00F9218F"/>
    <w:rsid w:val="00FA400F"/>
    <w:rsid w:val="00FA510C"/>
    <w:rsid w:val="00FA7051"/>
    <w:rsid w:val="00FB0ADA"/>
    <w:rsid w:val="00FB5E41"/>
    <w:rsid w:val="00FC311B"/>
    <w:rsid w:val="00FC36BF"/>
    <w:rsid w:val="00FD5636"/>
    <w:rsid w:val="00FD5D27"/>
    <w:rsid w:val="00FE1620"/>
    <w:rsid w:val="00FE2635"/>
    <w:rsid w:val="00FE28C9"/>
    <w:rsid w:val="00FE5EFD"/>
    <w:rsid w:val="00FE726F"/>
    <w:rsid w:val="00FF1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810E"/>
  <w15:chartTrackingRefBased/>
  <w15:docId w15:val="{31B44F25-8106-4666-B239-193C42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D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CommentReference">
    <w:name w:val="annotation reference"/>
    <w:basedOn w:val="DefaultParagraphFont"/>
    <w:unhideWhenUsed/>
    <w:rsid w:val="00D30D3C"/>
    <w:rPr>
      <w:sz w:val="16"/>
      <w:szCs w:val="16"/>
    </w:rPr>
  </w:style>
  <w:style w:type="paragraph" w:styleId="CommentText">
    <w:name w:val="annotation text"/>
    <w:basedOn w:val="Normal"/>
    <w:link w:val="CommentTextChar"/>
    <w:unhideWhenUsed/>
    <w:rsid w:val="00D30D3C"/>
    <w:pPr>
      <w:spacing w:line="240" w:lineRule="auto"/>
    </w:pPr>
    <w:rPr>
      <w:sz w:val="20"/>
      <w:szCs w:val="20"/>
    </w:rPr>
  </w:style>
  <w:style w:type="character" w:customStyle="1" w:styleId="CommentTextChar">
    <w:name w:val="Comment Text Char"/>
    <w:basedOn w:val="DefaultParagraphFont"/>
    <w:link w:val="CommentText"/>
    <w:rsid w:val="00D30D3C"/>
    <w:rPr>
      <w:sz w:val="20"/>
      <w:szCs w:val="20"/>
    </w:rPr>
  </w:style>
  <w:style w:type="paragraph" w:styleId="CommentSubject">
    <w:name w:val="annotation subject"/>
    <w:basedOn w:val="CommentText"/>
    <w:next w:val="CommentText"/>
    <w:link w:val="CommentSubjectChar"/>
    <w:semiHidden/>
    <w:unhideWhenUsed/>
    <w:rsid w:val="00D30D3C"/>
    <w:rPr>
      <w:b/>
      <w:bCs/>
    </w:rPr>
  </w:style>
  <w:style w:type="character" w:customStyle="1" w:styleId="CommentSubjectChar">
    <w:name w:val="Comment Subject Char"/>
    <w:basedOn w:val="CommentTextChar"/>
    <w:link w:val="CommentSubject"/>
    <w:uiPriority w:val="99"/>
    <w:semiHidden/>
    <w:rsid w:val="00D30D3C"/>
    <w:rPr>
      <w:b/>
      <w:bCs/>
      <w:sz w:val="20"/>
      <w:szCs w:val="20"/>
    </w:rPr>
  </w:style>
  <w:style w:type="paragraph" w:styleId="BalloonText">
    <w:name w:val="Balloon Text"/>
    <w:basedOn w:val="Normal"/>
    <w:link w:val="BalloonTextChar"/>
    <w:semiHidden/>
    <w:unhideWhenUsed/>
    <w:rsid w:val="00D3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3C"/>
    <w:rPr>
      <w:rFonts w:ascii="Segoe UI" w:hAnsi="Segoe UI" w:cs="Segoe UI"/>
      <w:sz w:val="18"/>
      <w:szCs w:val="18"/>
    </w:rPr>
  </w:style>
  <w:style w:type="paragraph" w:styleId="NormalWeb">
    <w:name w:val="Normal (Web)"/>
    <w:basedOn w:val="Normal"/>
    <w:uiPriority w:val="99"/>
    <w:unhideWhenUsed/>
    <w:rsid w:val="00610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5BE7"/>
    <w:rPr>
      <w:color w:val="605E5C"/>
      <w:shd w:val="clear" w:color="auto" w:fill="E1DFDD"/>
    </w:rPr>
  </w:style>
  <w:style w:type="paragraph" w:styleId="BodyTextIndent3">
    <w:name w:val="Body Text Indent 3"/>
    <w:basedOn w:val="Normal"/>
    <w:link w:val="BodyTextIndent3Char"/>
    <w:rsid w:val="00704C12"/>
    <w:pPr>
      <w:shd w:val="pct25" w:color="auto" w:fill="FFFFFF"/>
      <w:spacing w:after="0" w:line="240" w:lineRule="auto"/>
      <w:ind w:left="720" w:hanging="720"/>
    </w:pPr>
    <w:rPr>
      <w:rFonts w:ascii="Times New Roman" w:eastAsia="Times New Roman" w:hAnsi="Times New Roman" w:cs="Times New Roman"/>
      <w:i/>
      <w:sz w:val="24"/>
      <w:szCs w:val="20"/>
    </w:rPr>
  </w:style>
  <w:style w:type="character" w:customStyle="1" w:styleId="BodyTextIndent3Char">
    <w:name w:val="Body Text Indent 3 Char"/>
    <w:basedOn w:val="DefaultParagraphFont"/>
    <w:link w:val="BodyTextIndent3"/>
    <w:rsid w:val="00704C12"/>
    <w:rPr>
      <w:rFonts w:ascii="Times New Roman" w:eastAsia="Times New Roman" w:hAnsi="Times New Roman" w:cs="Times New Roman"/>
      <w:i/>
      <w:sz w:val="24"/>
      <w:szCs w:val="20"/>
      <w:shd w:val="pct25" w:color="auto" w:fill="FFFFFF"/>
    </w:rPr>
  </w:style>
  <w:style w:type="character" w:styleId="PageNumber">
    <w:name w:val="page number"/>
    <w:basedOn w:val="DefaultParagraphFont"/>
    <w:rsid w:val="00704C12"/>
  </w:style>
  <w:style w:type="paragraph" w:styleId="FootnoteText">
    <w:name w:val="footnote text"/>
    <w:basedOn w:val="Normal"/>
    <w:link w:val="FootnoteTextChar"/>
    <w:uiPriority w:val="99"/>
    <w:rsid w:val="00704C1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4C12"/>
    <w:rPr>
      <w:rFonts w:ascii="Times New Roman" w:eastAsia="Times New Roman" w:hAnsi="Times New Roman" w:cs="Times New Roman"/>
      <w:sz w:val="20"/>
      <w:szCs w:val="20"/>
    </w:rPr>
  </w:style>
  <w:style w:type="paragraph" w:customStyle="1" w:styleId="CharCharCharCharCharCharChar">
    <w:name w:val="Char Char Char Char Char Char Char"/>
    <w:basedOn w:val="Normal"/>
    <w:next w:val="BodyText2"/>
    <w:rsid w:val="00704C12"/>
    <w:pPr>
      <w:spacing w:after="0" w:line="240" w:lineRule="auto"/>
    </w:pPr>
    <w:rPr>
      <w:rFonts w:ascii="Arial" w:eastAsia="SimSun" w:hAnsi="Arial" w:cs="Times New Roman"/>
      <w:sz w:val="20"/>
      <w:szCs w:val="20"/>
      <w:lang w:eastAsia="zh-CN"/>
    </w:rPr>
  </w:style>
  <w:style w:type="paragraph" w:styleId="BodyText2">
    <w:name w:val="Body Text 2"/>
    <w:basedOn w:val="Normal"/>
    <w:link w:val="BodyText2Char"/>
    <w:rsid w:val="00704C12"/>
    <w:pPr>
      <w:spacing w:after="120" w:line="480" w:lineRule="auto"/>
    </w:pPr>
    <w:rPr>
      <w:rFonts w:ascii="Arial" w:eastAsia="Times New Roman" w:hAnsi="Arial" w:cs="Arial"/>
      <w:bCs/>
      <w:sz w:val="20"/>
      <w:szCs w:val="24"/>
    </w:rPr>
  </w:style>
  <w:style w:type="character" w:customStyle="1" w:styleId="BodyText2Char">
    <w:name w:val="Body Text 2 Char"/>
    <w:basedOn w:val="DefaultParagraphFont"/>
    <w:link w:val="BodyText2"/>
    <w:rsid w:val="00704C12"/>
    <w:rPr>
      <w:rFonts w:ascii="Arial" w:eastAsia="Times New Roman" w:hAnsi="Arial" w:cs="Arial"/>
      <w:bCs/>
      <w:sz w:val="20"/>
      <w:szCs w:val="24"/>
    </w:rPr>
  </w:style>
  <w:style w:type="paragraph" w:styleId="BodyTextIndent">
    <w:name w:val="Body Text Indent"/>
    <w:basedOn w:val="Normal"/>
    <w:link w:val="BodyTextIndentChar"/>
    <w:rsid w:val="00704C12"/>
    <w:pPr>
      <w:spacing w:after="120" w:line="240" w:lineRule="auto"/>
      <w:ind w:left="283"/>
    </w:pPr>
    <w:rPr>
      <w:rFonts w:ascii="Arial" w:eastAsia="Times New Roman" w:hAnsi="Arial" w:cs="Arial"/>
      <w:bCs/>
      <w:sz w:val="20"/>
      <w:szCs w:val="24"/>
    </w:rPr>
  </w:style>
  <w:style w:type="character" w:customStyle="1" w:styleId="BodyTextIndentChar">
    <w:name w:val="Body Text Indent Char"/>
    <w:basedOn w:val="DefaultParagraphFont"/>
    <w:link w:val="BodyTextIndent"/>
    <w:rsid w:val="00704C12"/>
    <w:rPr>
      <w:rFonts w:ascii="Arial" w:eastAsia="Times New Roman" w:hAnsi="Arial" w:cs="Arial"/>
      <w:bCs/>
      <w:sz w:val="20"/>
      <w:szCs w:val="24"/>
    </w:rPr>
  </w:style>
  <w:style w:type="paragraph" w:styleId="BodyTextIndent2">
    <w:name w:val="Body Text Indent 2"/>
    <w:basedOn w:val="Normal"/>
    <w:link w:val="BodyTextIndent2Char"/>
    <w:rsid w:val="00704C12"/>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704C12"/>
    <w:rPr>
      <w:rFonts w:ascii="Arial" w:eastAsia="Times New Roman" w:hAnsi="Arial" w:cs="Arial"/>
      <w:bCs/>
      <w:sz w:val="20"/>
      <w:szCs w:val="24"/>
    </w:rPr>
  </w:style>
  <w:style w:type="paragraph" w:styleId="BodyText3">
    <w:name w:val="Body Text 3"/>
    <w:basedOn w:val="Normal"/>
    <w:link w:val="BodyText3Char"/>
    <w:rsid w:val="00704C12"/>
    <w:pPr>
      <w:spacing w:after="120" w:line="240" w:lineRule="auto"/>
    </w:pPr>
    <w:rPr>
      <w:rFonts w:ascii="Arial" w:eastAsia="Times New Roman" w:hAnsi="Arial" w:cs="Arial"/>
      <w:bCs/>
      <w:sz w:val="16"/>
      <w:szCs w:val="16"/>
    </w:rPr>
  </w:style>
  <w:style w:type="character" w:customStyle="1" w:styleId="BodyText3Char">
    <w:name w:val="Body Text 3 Char"/>
    <w:basedOn w:val="DefaultParagraphFont"/>
    <w:link w:val="BodyText3"/>
    <w:rsid w:val="00704C12"/>
    <w:rPr>
      <w:rFonts w:ascii="Arial" w:eastAsia="Times New Roman" w:hAnsi="Arial" w:cs="Arial"/>
      <w:bCs/>
      <w:sz w:val="16"/>
      <w:szCs w:val="16"/>
    </w:rPr>
  </w:style>
  <w:style w:type="paragraph" w:styleId="DocumentMap">
    <w:name w:val="Document Map"/>
    <w:basedOn w:val="Normal"/>
    <w:link w:val="DocumentMapChar"/>
    <w:semiHidden/>
    <w:rsid w:val="00704C12"/>
    <w:pPr>
      <w:shd w:val="clear" w:color="auto" w:fill="000080"/>
      <w:spacing w:after="0" w:line="240" w:lineRule="auto"/>
    </w:pPr>
    <w:rPr>
      <w:rFonts w:ascii="Tahoma" w:eastAsia="Times New Roman" w:hAnsi="Tahoma" w:cs="Tahoma"/>
      <w:bCs/>
      <w:sz w:val="20"/>
      <w:szCs w:val="20"/>
    </w:rPr>
  </w:style>
  <w:style w:type="character" w:customStyle="1" w:styleId="DocumentMapChar">
    <w:name w:val="Document Map Char"/>
    <w:basedOn w:val="DefaultParagraphFont"/>
    <w:link w:val="DocumentMap"/>
    <w:semiHidden/>
    <w:rsid w:val="00704C12"/>
    <w:rPr>
      <w:rFonts w:ascii="Tahoma" w:eastAsia="Times New Roman" w:hAnsi="Tahoma" w:cs="Tahoma"/>
      <w:bCs/>
      <w:sz w:val="20"/>
      <w:szCs w:val="20"/>
      <w:shd w:val="clear" w:color="auto" w:fill="000080"/>
    </w:rPr>
  </w:style>
  <w:style w:type="character" w:styleId="Strong">
    <w:name w:val="Strong"/>
    <w:uiPriority w:val="22"/>
    <w:qFormat/>
    <w:rsid w:val="00704C12"/>
    <w:rPr>
      <w:b/>
      <w:bCs/>
    </w:rPr>
  </w:style>
  <w:style w:type="paragraph" w:styleId="Revision">
    <w:name w:val="Revision"/>
    <w:hidden/>
    <w:uiPriority w:val="99"/>
    <w:semiHidden/>
    <w:rsid w:val="00704C12"/>
    <w:pPr>
      <w:spacing w:after="0" w:line="240" w:lineRule="auto"/>
    </w:pPr>
    <w:rPr>
      <w:rFonts w:ascii="Arial" w:eastAsia="Times New Roman" w:hAnsi="Arial" w:cs="Arial"/>
      <w:bCs/>
      <w:sz w:val="20"/>
      <w:szCs w:val="24"/>
    </w:rPr>
  </w:style>
  <w:style w:type="paragraph" w:styleId="Caption">
    <w:name w:val="caption"/>
    <w:basedOn w:val="Normal"/>
    <w:next w:val="Normal"/>
    <w:semiHidden/>
    <w:unhideWhenUsed/>
    <w:qFormat/>
    <w:rsid w:val="00704C12"/>
    <w:pPr>
      <w:spacing w:after="200" w:line="240" w:lineRule="auto"/>
    </w:pPr>
    <w:rPr>
      <w:rFonts w:ascii="Arial" w:eastAsia="Times New Roman" w:hAnsi="Arial" w:cs="Arial"/>
      <w:bCs/>
      <w:i/>
      <w:iCs/>
      <w:color w:val="36BEAE" w:themeColor="text2"/>
      <w:sz w:val="18"/>
      <w:szCs w:val="18"/>
    </w:rPr>
  </w:style>
  <w:style w:type="paragraph" w:customStyle="1" w:styleId="legp1paratext1">
    <w:name w:val="legp1paratext1"/>
    <w:basedOn w:val="Normal"/>
    <w:rsid w:val="00704C12"/>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704C12"/>
  </w:style>
  <w:style w:type="character" w:customStyle="1" w:styleId="legdslegrhslegp3text">
    <w:name w:val="legds legrhs legp3text"/>
    <w:basedOn w:val="DefaultParagraphFont"/>
    <w:rsid w:val="00704C12"/>
  </w:style>
  <w:style w:type="character" w:styleId="FootnoteReference">
    <w:name w:val="footnote reference"/>
    <w:basedOn w:val="DefaultParagraphFont"/>
    <w:uiPriority w:val="99"/>
    <w:semiHidden/>
    <w:unhideWhenUsed/>
    <w:rsid w:val="004B48EC"/>
    <w:rPr>
      <w:vertAlign w:val="superscript"/>
    </w:rPr>
  </w:style>
  <w:style w:type="character" w:styleId="FollowedHyperlink">
    <w:name w:val="FollowedHyperlink"/>
    <w:basedOn w:val="DefaultParagraphFont"/>
    <w:uiPriority w:val="99"/>
    <w:semiHidden/>
    <w:unhideWhenUsed/>
    <w:rsid w:val="00921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77268">
      <w:bodyDiv w:val="1"/>
      <w:marLeft w:val="0"/>
      <w:marRight w:val="0"/>
      <w:marTop w:val="0"/>
      <w:marBottom w:val="0"/>
      <w:divBdr>
        <w:top w:val="none" w:sz="0" w:space="0" w:color="auto"/>
        <w:left w:val="none" w:sz="0" w:space="0" w:color="auto"/>
        <w:bottom w:val="none" w:sz="0" w:space="0" w:color="auto"/>
        <w:right w:val="none" w:sz="0" w:space="0" w:color="auto"/>
      </w:divBdr>
    </w:div>
    <w:div w:id="13114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c.uk.com/recruiters/legal/template-documents/forms-and-letters/ir35-small-company-exemption-declaration" TargetMode="External"/><Relationship Id="rId18" Type="http://schemas.openxmlformats.org/officeDocument/2006/relationships/hyperlink" Target="https://www.rec.uk.com/recruiters/legal/ir35" TargetMode="External"/><Relationship Id="rId26" Type="http://schemas.openxmlformats.org/officeDocument/2006/relationships/hyperlink" Target="https://www.rec.uk.com/legal-resources/legal-guide/data-protection" TargetMode="External"/><Relationship Id="rId39" Type="http://schemas.openxmlformats.org/officeDocument/2006/relationships/hyperlink" Target="https://www.rec.uk.com/recruiters/legal/template-documents/supporting-documents/document-g-information-request-form" TargetMode="External"/><Relationship Id="rId21" Type="http://schemas.openxmlformats.org/officeDocument/2006/relationships/footer" Target="footer1.xml"/><Relationship Id="rId34" Type="http://schemas.openxmlformats.org/officeDocument/2006/relationships/hyperlink" Target="https://www.rec.uk.com/legal-resources/factsheets-and-guides/factsheets-and-guides/Factsheet-4-What-is-equal-treatment-August-2015.pdf" TargetMode="External"/><Relationship Id="rId42" Type="http://schemas.openxmlformats.org/officeDocument/2006/relationships/hyperlink" Target="http://www.hmrc.gov.uk" TargetMode="External"/><Relationship Id="rId47" Type="http://schemas.openxmlformats.org/officeDocument/2006/relationships/hyperlink" Target="https://www.gov.uk/government/publications/construction-industry-scheme-cis-340"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c.uk.com/legal-resources/model-document-library" TargetMode="External"/><Relationship Id="rId29" Type="http://schemas.openxmlformats.org/officeDocument/2006/relationships/hyperlink" Target="https://www.rec.uk.com/recruiters/legal/template-documents/forms-and-letters/ir35-small-company-exemption-declaration" TargetMode="External"/><Relationship Id="rId11" Type="http://schemas.openxmlformats.org/officeDocument/2006/relationships/hyperlink" Target="https://www.legislation.gov.uk/ukpga/2006/46/contents" TargetMode="External"/><Relationship Id="rId24" Type="http://schemas.openxmlformats.org/officeDocument/2006/relationships/hyperlink" Target="https://www.gov.uk/government/uploads/system/uploads/attachment_data/file/300838/Agency_Workers_Regulations_-_21_March_RS.pdf" TargetMode="External"/><Relationship Id="rId32" Type="http://schemas.openxmlformats.org/officeDocument/2006/relationships/hyperlink" Target="https://www.rec.uk.com/legal-resources/legal-guide/conduct-regulations" TargetMode="External"/><Relationship Id="rId37" Type="http://schemas.openxmlformats.org/officeDocument/2006/relationships/hyperlink" Target="https://www.rec.uk.com/legal-resources/factsheets-and-guides/factsheets-and-guides/Factsheet-5-Liability-for-breach-of-the-AWR-2017-officially-updated.pdf" TargetMode="External"/><Relationship Id="rId40" Type="http://schemas.openxmlformats.org/officeDocument/2006/relationships/hyperlink" Target="https://www.rec.uk.com/recruiters/legal/template-documents/supporting-documents/document-g-information-request-form" TargetMode="External"/><Relationship Id="rId45" Type="http://schemas.openxmlformats.org/officeDocument/2006/relationships/hyperlink" Target="http://www.rec.uk.com/legal" TargetMode="External"/><Relationship Id="rId5" Type="http://schemas.openxmlformats.org/officeDocument/2006/relationships/webSettings" Target="webSettings.xml"/><Relationship Id="rId15" Type="http://schemas.openxmlformats.org/officeDocument/2006/relationships/hyperlink" Target="https://www.gov.uk/hmrc-internal-manuals/employment-status-manual/esm10000" TargetMode="External"/><Relationship Id="rId23" Type="http://schemas.openxmlformats.org/officeDocument/2006/relationships/hyperlink" Target="https://www.rec.uk.com/recruiters/legal/legal-guide/apprenticeship-levy" TargetMode="External"/><Relationship Id="rId28" Type="http://schemas.openxmlformats.org/officeDocument/2006/relationships/hyperlink" Target="https://www.gov.uk/hmrc-internal-manuals/employment-status-manual/esm10000" TargetMode="External"/><Relationship Id="rId36" Type="http://schemas.openxmlformats.org/officeDocument/2006/relationships/hyperlink" Target="https://www.rec.uk.com/legal-resources/factsheets-and-guides/factsheets-and-guides/Factsheet-3-How-does-an-agency-worker-qualify-for-equal-treatment-2015.pdf" TargetMode="External"/><Relationship Id="rId49" Type="http://schemas.openxmlformats.org/officeDocument/2006/relationships/hyperlink" Target="https://www.rec.uk.com/recruiters/legal/legal-resources/agency-workers-regulation/maternity-rights-under-awr" TargetMode="External"/><Relationship Id="rId10" Type="http://schemas.openxmlformats.org/officeDocument/2006/relationships/hyperlink" Target="https://www.rec.uk.com/recruiters/legal/template-documents/forms-and-letters/ir35-small-company-exemption-declaration" TargetMode="External"/><Relationship Id="rId19" Type="http://schemas.openxmlformats.org/officeDocument/2006/relationships/hyperlink" Target="https://www.gov.uk/hmrc-internal-manuals/employment-status-manual" TargetMode="External"/><Relationship Id="rId31" Type="http://schemas.openxmlformats.org/officeDocument/2006/relationships/hyperlink" Target="https://www.gov.uk/hmrc-internal-manuals/employment-status-manual/esm2500" TargetMode="External"/><Relationship Id="rId44" Type="http://schemas.openxmlformats.org/officeDocument/2006/relationships/hyperlink" Target="https://www.rec.uk.com/legal-resources/factsheets-and-guid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c.uk.com/recruiters/business-support/member-only-offers-and-discounts?&amp;pageId=981&amp;tag=Legal%20support" TargetMode="External"/><Relationship Id="rId14" Type="http://schemas.openxmlformats.org/officeDocument/2006/relationships/hyperlink" Target="https://www.gov.uk/hmrc-internal-manuals/employment-status-manual/esm10000" TargetMode="External"/><Relationship Id="rId22" Type="http://schemas.openxmlformats.org/officeDocument/2006/relationships/hyperlink" Target="https://www.rec.uk.com/legal-resources/model-document-library" TargetMode="External"/><Relationship Id="rId27" Type="http://schemas.openxmlformats.org/officeDocument/2006/relationships/hyperlink" Target="https://www.rec.uk.com/recruiters/legal/legal-resources/eu-general-data-protection-regulation-gdpr" TargetMode="External"/><Relationship Id="rId30" Type="http://schemas.openxmlformats.org/officeDocument/2006/relationships/hyperlink" Target="https://www.gov.uk/hmrc-internal-manuals/employment-status-manual/esm2500" TargetMode="External"/><Relationship Id="rId35" Type="http://schemas.openxmlformats.org/officeDocument/2006/relationships/hyperlink" Target="https://www.rec.uk.com/legal-resources/factsheets-and-guides/factsheets-and-guides/Factsheet-5-Liability-for-breach-of-the-AWR-2017-officially-updated.pdf" TargetMode="External"/><Relationship Id="rId43" Type="http://schemas.openxmlformats.org/officeDocument/2006/relationships/hyperlink" Target="https://www.rec.uk.com/legal-resources/legal-guide/VAT" TargetMode="External"/><Relationship Id="rId48" Type="http://schemas.openxmlformats.org/officeDocument/2006/relationships/hyperlink" Target="https://www.rec.uk.com/legal-resources/legal-guide/DBS" TargetMode="External"/><Relationship Id="rId8" Type="http://schemas.openxmlformats.org/officeDocument/2006/relationships/hyperlink" Target="https://www.rec.uk.com/legal-resources/model-document-library/model-terms-and-conditions"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egislation.gov.uk/uksi/2024/1303/made" TargetMode="External"/><Relationship Id="rId17" Type="http://schemas.openxmlformats.org/officeDocument/2006/relationships/hyperlink" Target="https://www.legislation.gov.uk/uksi/2024/1303/made" TargetMode="External"/><Relationship Id="rId25" Type="http://schemas.openxmlformats.org/officeDocument/2006/relationships/hyperlink" Target="https://www.rec.uk.com/legal-resources/legal-guide/conduct-regulations/regulation-13a-and-the-key-information-document" TargetMode="External"/><Relationship Id="rId33" Type="http://schemas.openxmlformats.org/officeDocument/2006/relationships/hyperlink" Target="https://www.rec.uk.com/recruiters/compliance/code-professional-practice" TargetMode="External"/><Relationship Id="rId38" Type="http://schemas.openxmlformats.org/officeDocument/2006/relationships/hyperlink" Target="https://www.rec.uk.com/legal-resources/factsheets-and-guides/factsheets-and-guides/Factsheet-4-What-is-equal-treatment-August-2015.pdf" TargetMode="External"/><Relationship Id="rId46" Type="http://schemas.openxmlformats.org/officeDocument/2006/relationships/hyperlink" Target="https://www.rec.uk.com/recruiters/legal/legal-resources/sector-specific-guides-and-briefings/rec-guide-running-agency-construction-sector" TargetMode="External"/><Relationship Id="rId20" Type="http://schemas.openxmlformats.org/officeDocument/2006/relationships/header" Target="header1.xml"/><Relationship Id="rId41" Type="http://schemas.openxmlformats.org/officeDocument/2006/relationships/hyperlink" Target="https://www.rec.uk.com/legal-resources/factsheets-and-guides/factsheets-and-guides/Factsheet-5-Liability-for-breach-of-the-AWR-2017-officially-updated.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618A-42CE-418C-8281-5225B982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4</TotalTime>
  <Pages>59</Pages>
  <Words>19165</Words>
  <Characters>109243</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Melissa Mhondoro</cp:lastModifiedBy>
  <cp:revision>3</cp:revision>
  <cp:lastPrinted>2025-03-28T18:01:00Z</cp:lastPrinted>
  <dcterms:created xsi:type="dcterms:W3CDTF">2025-03-31T08:06:00Z</dcterms:created>
  <dcterms:modified xsi:type="dcterms:W3CDTF">2025-03-31T08:07:00Z</dcterms:modified>
</cp:coreProperties>
</file>