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009A4" w14:textId="77777777" w:rsidR="00A91070" w:rsidRPr="00DC6B79" w:rsidRDefault="00A91070" w:rsidP="00C9277C">
      <w:pPr>
        <w:rPr>
          <w:rFonts w:ascii="Lato" w:hAnsi="Lato" w:cs="Arial"/>
          <w:color w:val="0D133D"/>
        </w:rPr>
      </w:pPr>
    </w:p>
    <w:p w14:paraId="705ADCEA" w14:textId="70FC095D" w:rsidR="00A91070" w:rsidRPr="00DC6B79" w:rsidRDefault="00A91070" w:rsidP="00C9277C">
      <w:pPr>
        <w:rPr>
          <w:rFonts w:ascii="Lato" w:hAnsi="Lato" w:cs="Arial"/>
          <w:color w:val="0D133D"/>
        </w:rPr>
      </w:pPr>
    </w:p>
    <w:p w14:paraId="0C4A0429" w14:textId="10003956" w:rsidR="00A91070" w:rsidRPr="00DC6B79" w:rsidRDefault="00BC48E1" w:rsidP="00C9277C">
      <w:pPr>
        <w:rPr>
          <w:rFonts w:ascii="Lato" w:hAnsi="Lato" w:cs="Arial"/>
          <w:color w:val="0D133D"/>
        </w:rPr>
      </w:pPr>
      <w:r w:rsidRPr="00DC6B79">
        <w:rPr>
          <w:rFonts w:ascii="Lato" w:hAnsi="Lato" w:cs="Arial"/>
          <w:noProof/>
          <w:color w:val="0D133D"/>
        </w:rPr>
        <mc:AlternateContent>
          <mc:Choice Requires="wps">
            <w:drawing>
              <wp:anchor distT="0" distB="0" distL="114300" distR="114300" simplePos="0" relativeHeight="251665408" behindDoc="0" locked="0" layoutInCell="1" allowOverlap="1" wp14:anchorId="2983C822" wp14:editId="00C533E6">
                <wp:simplePos x="0" y="0"/>
                <wp:positionH relativeFrom="column">
                  <wp:posOffset>-212725</wp:posOffset>
                </wp:positionH>
                <wp:positionV relativeFrom="paragraph">
                  <wp:posOffset>128165</wp:posOffset>
                </wp:positionV>
                <wp:extent cx="5610" cy="811876"/>
                <wp:effectExtent l="0" t="0" r="33020" b="26670"/>
                <wp:wrapNone/>
                <wp:docPr id="3" name="Straight Connector 3"/>
                <wp:cNvGraphicFramePr/>
                <a:graphic xmlns:a="http://schemas.openxmlformats.org/drawingml/2006/main">
                  <a:graphicData uri="http://schemas.microsoft.com/office/word/2010/wordprocessingShape">
                    <wps:wsp>
                      <wps:cNvCnPr/>
                      <wps:spPr>
                        <a:xfrm flipH="1">
                          <a:off x="0" y="0"/>
                          <a:ext cx="5610" cy="811876"/>
                        </a:xfrm>
                        <a:prstGeom prst="line">
                          <a:avLst/>
                        </a:prstGeom>
                        <a:ln w="19050">
                          <a:solidFill>
                            <a:srgbClr val="5974D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0EACD6" id="Straight Connector 3"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5pt,10.1pt" to="-16.3pt,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u57AEAABoEAAAOAAAAZHJzL2Uyb0RvYy54bWysU02P0zAQvSPxHyzfaZLdbbcbNd1Dq4UD&#10;gmoXfoDr2I0lf2lsmvTfM3bSsIA4gLhY/pj3Zt6b8eZxMJqcBQTlbEOrRUmJsNy1yp4a+vXL07s1&#10;JSEy2zLtrGjoRQT6uH37ZtP7Wty4zulWAEESG+reN7SL0ddFEXgnDAsL54XFR+nAsIhHOBUtsB7Z&#10;jS5uynJV9A5aD46LEPB2Pz7SbeaXUvD4WcogItENxdpiXiGvx7QW2w2rT8B8p/hUBvuHKgxTFpPO&#10;VHsWGfkG6jcqozi44GRccGcKJ6XiImtANVX5i5qXjnmRtaA5wc82hf9Hyz+dD0BU29BbSiwz2KKX&#10;CEydukh2zlo00AG5TT71PtQYvrMHmE7BHyCJHiQYIrXyH3AEsg0ojAzZ5cvsshgi4Xi5XFXYCY4P&#10;66pa368SdzGSJDIPIb4XzpC0aahWNlnAanb+GOIYeg1J19qSHrM+lMsyhwWnVfuktE6PAU7HnQZy&#10;Ztj+5cP93f5uyvYqDHNriyUkfaOivIsXLcYEz0KiQ1j5qC3PpphpGefCxmri1RajE0xiCTNwKi0N&#10;9Z+AU3yCijy3fwOeETmzs3EGG2UdjMb8nD0O15LlGH91YNSdLDi69pJ7na3BAcx9mj5LmvDX5wz/&#10;8aW33wEAAP//AwBQSwMEFAAGAAgAAAAhACaWQlLhAAAACgEAAA8AAABkcnMvZG93bnJldi54bWxM&#10;j8FOwzAQRO9I/IO1SNxSuwlUURqnAgTigKpCW6Qe3XiJo8brKHab8PeYExxX8zTztlxNtmMXHHzr&#10;SMJ8JoAh1U631EjY716SHJgPirTqHKGEb/Swqq6vSlVoN9IHXrahYbGEfKEkmBD6gnNfG7TKz1yP&#10;FLMvN1gV4jk0XA9qjOW246kQC25VS3HBqB6fDNan7dlKWLcH8fi8y8c302b6ff2655vPk5S3N9PD&#10;EljAKfzB8Ksf1aGKTkd3Ju1ZJyHJsvuISkhFCiwCSZYugB0jeZfPgVcl//9C9QMAAP//AwBQSwEC&#10;LQAUAAYACAAAACEAtoM4kv4AAADhAQAAEwAAAAAAAAAAAAAAAAAAAAAAW0NvbnRlbnRfVHlwZXNd&#10;LnhtbFBLAQItABQABgAIAAAAIQA4/SH/1gAAAJQBAAALAAAAAAAAAAAAAAAAAC8BAABfcmVscy8u&#10;cmVsc1BLAQItABQABgAIAAAAIQAb5+u57AEAABoEAAAOAAAAAAAAAAAAAAAAAC4CAABkcnMvZTJv&#10;RG9jLnhtbFBLAQItABQABgAIAAAAIQAmlkJS4QAAAAoBAAAPAAAAAAAAAAAAAAAAAEYEAABkcnMv&#10;ZG93bnJldi54bWxQSwUGAAAAAAQABADzAAAAVAUAAAAA&#10;" strokecolor="#5974d4" strokeweight="1.5pt"/>
            </w:pict>
          </mc:Fallback>
        </mc:AlternateContent>
      </w:r>
    </w:p>
    <w:p w14:paraId="22D32C74" w14:textId="39FD6E25" w:rsidR="00A91070" w:rsidRPr="00DC6B79" w:rsidRDefault="00284337" w:rsidP="00A91070">
      <w:pPr>
        <w:rPr>
          <w:rFonts w:ascii="Lato" w:hAnsi="Lato" w:cs="Arial"/>
          <w:color w:val="0D133D"/>
          <w:sz w:val="60"/>
          <w:szCs w:val="60"/>
        </w:rPr>
      </w:pPr>
      <w:r w:rsidRPr="00284337">
        <w:rPr>
          <w:rFonts w:ascii="Lato" w:hAnsi="Lato" w:cs="Arial"/>
          <w:color w:val="0D133D"/>
          <w:sz w:val="60"/>
          <w:szCs w:val="60"/>
        </w:rPr>
        <w:t>Finance Bill Sub-Committee</w:t>
      </w:r>
      <w:r>
        <w:rPr>
          <w:rFonts w:ascii="Lato" w:hAnsi="Lato" w:cs="Arial"/>
          <w:color w:val="0D133D"/>
          <w:sz w:val="60"/>
          <w:szCs w:val="60"/>
        </w:rPr>
        <w:t xml:space="preserve"> call for evidence</w:t>
      </w:r>
      <w:r w:rsidR="00777517">
        <w:rPr>
          <w:rFonts w:ascii="Lato" w:hAnsi="Lato" w:cs="Arial"/>
          <w:color w:val="0D133D"/>
          <w:sz w:val="60"/>
          <w:szCs w:val="60"/>
        </w:rPr>
        <w:t xml:space="preserve"> </w:t>
      </w:r>
    </w:p>
    <w:p w14:paraId="1A5D2866" w14:textId="12E7968F" w:rsidR="00A91070" w:rsidRDefault="00AA6AAE" w:rsidP="00A91070">
      <w:pPr>
        <w:rPr>
          <w:rFonts w:ascii="Lato" w:hAnsi="Lato" w:cs="Arial"/>
          <w:color w:val="5974D4"/>
          <w:sz w:val="40"/>
          <w:szCs w:val="40"/>
        </w:rPr>
      </w:pPr>
      <w:r>
        <w:rPr>
          <w:rFonts w:ascii="Lato" w:hAnsi="Lato" w:cs="Arial"/>
          <w:color w:val="5974D4"/>
          <w:sz w:val="40"/>
          <w:szCs w:val="40"/>
        </w:rPr>
        <w:t xml:space="preserve">A response from the Recruitment </w:t>
      </w:r>
      <w:r w:rsidR="00360D4F">
        <w:rPr>
          <w:rFonts w:ascii="Lato" w:hAnsi="Lato" w:cs="Arial"/>
          <w:color w:val="5974D4"/>
          <w:sz w:val="40"/>
          <w:szCs w:val="40"/>
        </w:rPr>
        <w:t xml:space="preserve">&amp; </w:t>
      </w:r>
      <w:r>
        <w:rPr>
          <w:rFonts w:ascii="Lato" w:hAnsi="Lato" w:cs="Arial"/>
          <w:color w:val="5974D4"/>
          <w:sz w:val="40"/>
          <w:szCs w:val="40"/>
        </w:rPr>
        <w:t>Employment Confederation</w:t>
      </w:r>
      <w:r w:rsidR="00CC450B">
        <w:rPr>
          <w:rFonts w:ascii="Lato" w:hAnsi="Lato" w:cs="Arial"/>
          <w:color w:val="5974D4"/>
          <w:sz w:val="40"/>
          <w:szCs w:val="40"/>
        </w:rPr>
        <w:t xml:space="preserve"> </w:t>
      </w:r>
      <w:r w:rsidR="00AA1C30">
        <w:rPr>
          <w:rFonts w:ascii="Lato" w:hAnsi="Lato" w:cs="Arial"/>
          <w:color w:val="5974D4"/>
          <w:sz w:val="40"/>
          <w:szCs w:val="40"/>
        </w:rPr>
        <w:t>(REC)</w:t>
      </w:r>
    </w:p>
    <w:p w14:paraId="62826A4A" w14:textId="31A6F888" w:rsidR="007B4B9C" w:rsidRPr="007B4B9C" w:rsidRDefault="00C93D3D" w:rsidP="00A91070">
      <w:pPr>
        <w:rPr>
          <w:rFonts w:ascii="Lato" w:hAnsi="Lato" w:cs="Arial"/>
          <w:color w:val="5974D4"/>
          <w:sz w:val="24"/>
          <w:szCs w:val="40"/>
        </w:rPr>
      </w:pPr>
      <w:r>
        <w:rPr>
          <w:rFonts w:ascii="Lato" w:hAnsi="Lato" w:cs="Arial"/>
          <w:color w:val="5974D4"/>
          <w:sz w:val="24"/>
          <w:szCs w:val="40"/>
        </w:rPr>
        <w:t>15th</w:t>
      </w:r>
      <w:r w:rsidR="008541B9">
        <w:rPr>
          <w:rFonts w:ascii="Lato" w:hAnsi="Lato" w:cs="Arial"/>
          <w:color w:val="5974D4"/>
          <w:sz w:val="24"/>
          <w:szCs w:val="40"/>
        </w:rPr>
        <w:t xml:space="preserve"> November</w:t>
      </w:r>
      <w:r w:rsidR="007B4B9C" w:rsidRPr="007B4B9C">
        <w:rPr>
          <w:rFonts w:ascii="Lato" w:hAnsi="Lato" w:cs="Arial"/>
          <w:color w:val="5974D4"/>
          <w:sz w:val="24"/>
          <w:szCs w:val="40"/>
        </w:rPr>
        <w:t xml:space="preserve"> 202</w:t>
      </w:r>
      <w:r w:rsidR="008541B9">
        <w:rPr>
          <w:rFonts w:ascii="Lato" w:hAnsi="Lato" w:cs="Arial"/>
          <w:color w:val="5974D4"/>
          <w:sz w:val="24"/>
          <w:szCs w:val="40"/>
        </w:rPr>
        <w:t>1</w:t>
      </w:r>
    </w:p>
    <w:p w14:paraId="02E384C2" w14:textId="292EA90D" w:rsidR="00A91070" w:rsidRPr="00DC6B79" w:rsidRDefault="00A91070" w:rsidP="00A91070">
      <w:pPr>
        <w:rPr>
          <w:rFonts w:ascii="Lato" w:hAnsi="Lato" w:cs="Arial"/>
          <w:color w:val="0D133D"/>
          <w:sz w:val="72"/>
          <w:szCs w:val="72"/>
        </w:rPr>
      </w:pPr>
    </w:p>
    <w:p w14:paraId="047945A9" w14:textId="3B003A00" w:rsidR="00A91070" w:rsidRPr="00DC6B79" w:rsidRDefault="005C7086" w:rsidP="00C9277C">
      <w:pPr>
        <w:rPr>
          <w:rFonts w:ascii="Lato" w:hAnsi="Lato" w:cs="Arial"/>
          <w:color w:val="0D133D"/>
        </w:rPr>
      </w:pPr>
      <w:r>
        <w:rPr>
          <w:rFonts w:ascii="Lato" w:hAnsi="Lato" w:cs="Arial"/>
          <w:noProof/>
          <w:color w:val="0D133D"/>
        </w:rPr>
        <w:drawing>
          <wp:anchor distT="0" distB="0" distL="114300" distR="114300" simplePos="0" relativeHeight="251667456" behindDoc="0" locked="0" layoutInCell="1" allowOverlap="1" wp14:anchorId="5026640E" wp14:editId="12BDDD88">
            <wp:simplePos x="0" y="0"/>
            <wp:positionH relativeFrom="page">
              <wp:align>right</wp:align>
            </wp:positionH>
            <wp:positionV relativeFrom="paragraph">
              <wp:posOffset>417064</wp:posOffset>
            </wp:positionV>
            <wp:extent cx="8012336" cy="6905296"/>
            <wp:effectExtent l="0" t="0" r="825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12336" cy="69052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AE88E" w14:textId="39883FB1" w:rsidR="00A91070" w:rsidRPr="00DC6B79" w:rsidRDefault="00A91070" w:rsidP="00C9277C">
      <w:pPr>
        <w:rPr>
          <w:rFonts w:ascii="Lato" w:hAnsi="Lato" w:cs="Arial"/>
          <w:color w:val="0D133D"/>
        </w:rPr>
      </w:pPr>
    </w:p>
    <w:p w14:paraId="44BB92AE" w14:textId="05EA05A7" w:rsidR="00A91070" w:rsidRPr="00DC6B79" w:rsidRDefault="00A91070" w:rsidP="00C9277C">
      <w:pPr>
        <w:rPr>
          <w:rFonts w:ascii="Lato" w:hAnsi="Lato" w:cs="Arial"/>
          <w:color w:val="0D133D"/>
        </w:rPr>
      </w:pPr>
    </w:p>
    <w:p w14:paraId="1ED26683" w14:textId="112C623E" w:rsidR="00A91070" w:rsidRPr="00DC6B79" w:rsidRDefault="00A91070" w:rsidP="00C9277C">
      <w:pPr>
        <w:rPr>
          <w:rFonts w:ascii="Lato" w:hAnsi="Lato" w:cs="Arial"/>
          <w:color w:val="0D133D"/>
        </w:rPr>
      </w:pPr>
    </w:p>
    <w:p w14:paraId="6456DB92" w14:textId="35889E3F" w:rsidR="00A91070" w:rsidRPr="00DC6B79" w:rsidRDefault="00A91070" w:rsidP="00C9277C">
      <w:pPr>
        <w:rPr>
          <w:rFonts w:ascii="Lato" w:hAnsi="Lato" w:cs="Arial"/>
          <w:color w:val="0D133D"/>
        </w:rPr>
      </w:pPr>
    </w:p>
    <w:p w14:paraId="6E962863" w14:textId="25C55156" w:rsidR="00A91070" w:rsidRPr="00DC6B79" w:rsidRDefault="00A91070" w:rsidP="00C9277C">
      <w:pPr>
        <w:rPr>
          <w:rFonts w:ascii="Lato" w:hAnsi="Lato" w:cs="Arial"/>
          <w:color w:val="0D133D"/>
        </w:rPr>
      </w:pPr>
    </w:p>
    <w:p w14:paraId="19F790B0" w14:textId="2C37E784" w:rsidR="00A91070" w:rsidRPr="00DC6B79" w:rsidRDefault="00A91070" w:rsidP="00C9277C">
      <w:pPr>
        <w:rPr>
          <w:rFonts w:ascii="Lato" w:hAnsi="Lato" w:cs="Arial"/>
          <w:color w:val="0D133D"/>
        </w:rPr>
      </w:pPr>
    </w:p>
    <w:p w14:paraId="5CD0D6B0" w14:textId="138BDE4E" w:rsidR="00A91070" w:rsidRPr="00DC6B79" w:rsidRDefault="00A91070" w:rsidP="00C9277C">
      <w:pPr>
        <w:rPr>
          <w:rFonts w:ascii="Lato" w:hAnsi="Lato" w:cs="Arial"/>
          <w:color w:val="0D133D"/>
        </w:rPr>
      </w:pPr>
    </w:p>
    <w:p w14:paraId="05FE1AA1" w14:textId="2DA7AA76" w:rsidR="00A91070" w:rsidRPr="00DC6B79" w:rsidRDefault="00A91070" w:rsidP="00C9277C">
      <w:pPr>
        <w:rPr>
          <w:rFonts w:ascii="Lato" w:hAnsi="Lato" w:cs="Arial"/>
          <w:color w:val="0D133D"/>
        </w:rPr>
      </w:pPr>
    </w:p>
    <w:p w14:paraId="21769377" w14:textId="381A3245" w:rsidR="00A91070" w:rsidRPr="00DC6B79" w:rsidRDefault="00A91070" w:rsidP="00C9277C">
      <w:pPr>
        <w:rPr>
          <w:rFonts w:ascii="Lato" w:hAnsi="Lato" w:cs="Arial"/>
          <w:color w:val="0D133D"/>
        </w:rPr>
      </w:pPr>
    </w:p>
    <w:p w14:paraId="7FE0FB54" w14:textId="7E76C7EC" w:rsidR="00A91070" w:rsidRPr="00DC6B79" w:rsidRDefault="00A91070" w:rsidP="00C9277C">
      <w:pPr>
        <w:rPr>
          <w:rFonts w:ascii="Lato" w:hAnsi="Lato" w:cs="Arial"/>
          <w:color w:val="0D133D"/>
        </w:rPr>
      </w:pPr>
    </w:p>
    <w:p w14:paraId="04672449" w14:textId="36829278" w:rsidR="00A91070" w:rsidRPr="00DC6B79" w:rsidRDefault="00A91070" w:rsidP="00C9277C">
      <w:pPr>
        <w:rPr>
          <w:rFonts w:ascii="Lato" w:hAnsi="Lato" w:cs="Arial"/>
          <w:color w:val="0D133D"/>
        </w:rPr>
      </w:pPr>
    </w:p>
    <w:p w14:paraId="689F24EE" w14:textId="77777777" w:rsidR="00A91070" w:rsidRPr="00DC6B79" w:rsidRDefault="00A91070" w:rsidP="00C9277C">
      <w:pPr>
        <w:rPr>
          <w:rFonts w:ascii="Lato" w:hAnsi="Lato" w:cs="Arial"/>
          <w:color w:val="0D133D"/>
        </w:rPr>
      </w:pPr>
    </w:p>
    <w:p w14:paraId="331E96DD" w14:textId="5E3A96F1" w:rsidR="00A91070" w:rsidRPr="00DC6B79" w:rsidRDefault="00A91070" w:rsidP="00C9277C">
      <w:pPr>
        <w:rPr>
          <w:rFonts w:ascii="Lato" w:hAnsi="Lato" w:cs="Arial"/>
          <w:color w:val="0D133D"/>
        </w:rPr>
      </w:pPr>
    </w:p>
    <w:p w14:paraId="6C769C67" w14:textId="1293AA78" w:rsidR="00A91070" w:rsidRPr="00DC6B79" w:rsidRDefault="00A91070" w:rsidP="00C9277C">
      <w:pPr>
        <w:rPr>
          <w:rFonts w:ascii="Lato" w:hAnsi="Lato" w:cs="Arial"/>
          <w:color w:val="0D133D"/>
        </w:rPr>
      </w:pPr>
    </w:p>
    <w:p w14:paraId="10EA25A0" w14:textId="13CCB611" w:rsidR="00C9277C" w:rsidRPr="00DC6B79" w:rsidRDefault="00C9277C" w:rsidP="00C9277C">
      <w:pPr>
        <w:rPr>
          <w:rFonts w:ascii="Lato" w:hAnsi="Lato" w:cs="Arial"/>
          <w:color w:val="0D133D"/>
        </w:rPr>
      </w:pPr>
    </w:p>
    <w:p w14:paraId="1158DFEB" w14:textId="77777777" w:rsidR="00A91070" w:rsidRPr="00DC6B79" w:rsidRDefault="00A91070" w:rsidP="00C9277C">
      <w:pPr>
        <w:rPr>
          <w:rFonts w:ascii="Lato" w:hAnsi="Lato" w:cs="Arial"/>
          <w:b/>
          <w:color w:val="0D133D"/>
        </w:rPr>
      </w:pPr>
    </w:p>
    <w:p w14:paraId="344594CF" w14:textId="77777777" w:rsidR="00A91070" w:rsidRPr="00DC6B79" w:rsidRDefault="00A91070" w:rsidP="00C9277C">
      <w:pPr>
        <w:rPr>
          <w:rFonts w:ascii="Lato" w:hAnsi="Lato" w:cs="Arial"/>
          <w:b/>
          <w:color w:val="0D133D"/>
        </w:rPr>
      </w:pPr>
    </w:p>
    <w:p w14:paraId="4E7F9086" w14:textId="77777777" w:rsidR="00A91070" w:rsidRPr="00DC6B79" w:rsidRDefault="00A91070" w:rsidP="00C9277C">
      <w:pPr>
        <w:rPr>
          <w:rFonts w:ascii="Lato" w:hAnsi="Lato" w:cs="Arial"/>
          <w:b/>
          <w:color w:val="0D133D"/>
        </w:rPr>
      </w:pPr>
    </w:p>
    <w:p w14:paraId="1B2DAB9C" w14:textId="77777777" w:rsidR="00A91070" w:rsidRPr="00DC6B79" w:rsidRDefault="00A91070" w:rsidP="00C9277C">
      <w:pPr>
        <w:rPr>
          <w:rFonts w:ascii="Lato" w:hAnsi="Lato" w:cs="Arial"/>
          <w:b/>
          <w:color w:val="0D133D"/>
        </w:rPr>
      </w:pPr>
    </w:p>
    <w:p w14:paraId="75AD458F" w14:textId="77777777" w:rsidR="00A91070" w:rsidRPr="00DC6B79" w:rsidRDefault="00A91070" w:rsidP="00C9277C">
      <w:pPr>
        <w:rPr>
          <w:rFonts w:ascii="Lato" w:hAnsi="Lato" w:cs="Arial"/>
          <w:b/>
          <w:color w:val="0D133D"/>
        </w:rPr>
      </w:pPr>
    </w:p>
    <w:p w14:paraId="5E5AD31F" w14:textId="77777777" w:rsidR="00A91070" w:rsidRPr="00DC6B79" w:rsidRDefault="00A91070" w:rsidP="00C9277C">
      <w:pPr>
        <w:rPr>
          <w:rFonts w:ascii="Lato" w:hAnsi="Lato" w:cs="Arial"/>
          <w:b/>
          <w:color w:val="0D133D"/>
        </w:rPr>
      </w:pPr>
    </w:p>
    <w:p w14:paraId="1B3C8F86" w14:textId="77777777" w:rsidR="00A91070" w:rsidRPr="00DC6B79" w:rsidRDefault="00A91070" w:rsidP="00C9277C">
      <w:pPr>
        <w:rPr>
          <w:rFonts w:ascii="Lato" w:hAnsi="Lato" w:cs="Arial"/>
          <w:b/>
          <w:color w:val="0D133D"/>
        </w:rPr>
      </w:pPr>
    </w:p>
    <w:p w14:paraId="1D129BF9" w14:textId="77777777" w:rsidR="00A91070" w:rsidRPr="00DC6B79" w:rsidRDefault="00A91070" w:rsidP="00C9277C">
      <w:pPr>
        <w:rPr>
          <w:rFonts w:ascii="Lato" w:hAnsi="Lato" w:cs="Arial"/>
          <w:b/>
          <w:color w:val="0D133D"/>
        </w:rPr>
      </w:pPr>
    </w:p>
    <w:p w14:paraId="1F98D853" w14:textId="77777777" w:rsidR="00A91070" w:rsidRPr="00DC6B79" w:rsidRDefault="00A91070" w:rsidP="00C9277C">
      <w:pPr>
        <w:rPr>
          <w:rFonts w:ascii="Lato" w:hAnsi="Lato" w:cs="Arial"/>
          <w:b/>
          <w:color w:val="0D133D"/>
        </w:rPr>
      </w:pPr>
    </w:p>
    <w:p w14:paraId="7E4B31A3" w14:textId="77777777" w:rsidR="00A91070" w:rsidRPr="00DC6B79" w:rsidRDefault="00A91070" w:rsidP="00C9277C">
      <w:pPr>
        <w:rPr>
          <w:rFonts w:ascii="Lato" w:hAnsi="Lato" w:cs="Arial"/>
          <w:b/>
          <w:color w:val="0D133D"/>
        </w:rPr>
      </w:pPr>
    </w:p>
    <w:p w14:paraId="41A9A627" w14:textId="77777777" w:rsidR="00A91070" w:rsidRPr="00DC6B79" w:rsidRDefault="00A91070" w:rsidP="00C9277C">
      <w:pPr>
        <w:rPr>
          <w:rFonts w:ascii="Lato" w:hAnsi="Lato" w:cs="Arial"/>
          <w:b/>
          <w:color w:val="0D133D"/>
        </w:rPr>
      </w:pPr>
    </w:p>
    <w:p w14:paraId="5DDD0BB8" w14:textId="4BF6129A" w:rsidR="00A91070" w:rsidRPr="00DC6B79" w:rsidRDefault="00A91070" w:rsidP="00C9277C">
      <w:pPr>
        <w:rPr>
          <w:rFonts w:ascii="Lato" w:hAnsi="Lato" w:cs="Arial"/>
          <w:b/>
          <w:color w:val="0D133D"/>
        </w:rPr>
      </w:pPr>
    </w:p>
    <w:p w14:paraId="3A346DBF" w14:textId="0862FD06" w:rsidR="00994B73" w:rsidRPr="00DC6B79" w:rsidRDefault="00994B73" w:rsidP="00C9277C">
      <w:pPr>
        <w:rPr>
          <w:rFonts w:ascii="Lato" w:hAnsi="Lato" w:cs="Arial"/>
          <w:b/>
          <w:color w:val="0D133D"/>
        </w:rPr>
      </w:pPr>
    </w:p>
    <w:p w14:paraId="58919157" w14:textId="63819F5A" w:rsidR="00994B73" w:rsidRPr="00DC6B79" w:rsidRDefault="00994B73" w:rsidP="00C9277C">
      <w:pPr>
        <w:rPr>
          <w:rFonts w:ascii="Lato" w:hAnsi="Lato" w:cs="Arial"/>
          <w:b/>
          <w:color w:val="0D133D"/>
        </w:rPr>
      </w:pPr>
    </w:p>
    <w:p w14:paraId="7ECB3D59" w14:textId="55FD709F" w:rsidR="00994B73" w:rsidRPr="00DC6B79" w:rsidRDefault="00994B73" w:rsidP="00C9277C">
      <w:pPr>
        <w:rPr>
          <w:rFonts w:ascii="Lato" w:hAnsi="Lato" w:cs="Arial"/>
          <w:b/>
          <w:color w:val="0D133D"/>
        </w:rPr>
      </w:pPr>
    </w:p>
    <w:p w14:paraId="76D6762D" w14:textId="1C808433" w:rsidR="00994B73" w:rsidRPr="00DC6B79" w:rsidRDefault="00994B73" w:rsidP="00C9277C">
      <w:pPr>
        <w:rPr>
          <w:rFonts w:ascii="Lato" w:hAnsi="Lato" w:cs="Arial"/>
          <w:b/>
          <w:color w:val="0D133D"/>
        </w:rPr>
      </w:pPr>
    </w:p>
    <w:p w14:paraId="095C6914" w14:textId="3937E1DC" w:rsidR="00994B73" w:rsidRPr="00DC6B79" w:rsidRDefault="00994B73" w:rsidP="00C9277C">
      <w:pPr>
        <w:rPr>
          <w:rFonts w:ascii="Lato" w:hAnsi="Lato" w:cs="Arial"/>
          <w:b/>
          <w:color w:val="0D133D"/>
        </w:rPr>
      </w:pPr>
    </w:p>
    <w:p w14:paraId="2FE0743D" w14:textId="50D80E4B" w:rsidR="00994B73" w:rsidRPr="00DC6B79" w:rsidRDefault="00994B73" w:rsidP="00C9277C">
      <w:pPr>
        <w:rPr>
          <w:rFonts w:ascii="Lato" w:hAnsi="Lato" w:cs="Arial"/>
          <w:b/>
          <w:color w:val="0D133D"/>
        </w:rPr>
      </w:pPr>
    </w:p>
    <w:p w14:paraId="333E40B0" w14:textId="38C8C1AB" w:rsidR="00A91070" w:rsidRPr="00DC6B79" w:rsidRDefault="00A91070" w:rsidP="00C9277C">
      <w:pPr>
        <w:rPr>
          <w:rFonts w:ascii="Lato" w:hAnsi="Lato" w:cs="Arial"/>
          <w:b/>
          <w:color w:val="0D133D"/>
        </w:rPr>
      </w:pPr>
    </w:p>
    <w:p w14:paraId="6022B0E8" w14:textId="77777777" w:rsidR="00ED775D" w:rsidRDefault="00ED775D" w:rsidP="00B51F37">
      <w:pPr>
        <w:autoSpaceDE w:val="0"/>
        <w:autoSpaceDN w:val="0"/>
        <w:adjustRightInd w:val="0"/>
        <w:jc w:val="both"/>
        <w:rPr>
          <w:rFonts w:ascii="Lato" w:hAnsi="Lato" w:cs="Arial"/>
          <w:b/>
          <w:color w:val="0D133D"/>
        </w:rPr>
      </w:pPr>
    </w:p>
    <w:p w14:paraId="11B715FF" w14:textId="5F1C6335" w:rsidR="007B4B9C" w:rsidRDefault="00FB1C9C" w:rsidP="00B51F37">
      <w:pPr>
        <w:autoSpaceDE w:val="0"/>
        <w:autoSpaceDN w:val="0"/>
        <w:adjustRightInd w:val="0"/>
        <w:jc w:val="both"/>
        <w:rPr>
          <w:rFonts w:ascii="Lato" w:hAnsi="Lato" w:cs="Arial"/>
          <w:b/>
          <w:color w:val="0D133D"/>
        </w:rPr>
      </w:pPr>
      <w:r>
        <w:rPr>
          <w:rFonts w:ascii="Lato" w:hAnsi="Lato" w:cs="Arial"/>
          <w:b/>
          <w:color w:val="0D133D"/>
        </w:rPr>
        <w:t>About</w:t>
      </w:r>
      <w:r w:rsidR="000A166B">
        <w:rPr>
          <w:rFonts w:ascii="Lato" w:hAnsi="Lato" w:cs="Arial"/>
          <w:b/>
          <w:color w:val="0D133D"/>
        </w:rPr>
        <w:t xml:space="preserve"> the REC</w:t>
      </w:r>
    </w:p>
    <w:p w14:paraId="653C487E" w14:textId="77777777" w:rsidR="000A166B" w:rsidRPr="007B4B9C" w:rsidRDefault="000A166B" w:rsidP="00B51F37">
      <w:pPr>
        <w:autoSpaceDE w:val="0"/>
        <w:autoSpaceDN w:val="0"/>
        <w:adjustRightInd w:val="0"/>
        <w:jc w:val="both"/>
        <w:rPr>
          <w:rFonts w:ascii="Lato" w:hAnsi="Lato" w:cs="Arial"/>
          <w:b/>
          <w:color w:val="0D133D"/>
        </w:rPr>
      </w:pPr>
    </w:p>
    <w:p w14:paraId="37D3930E" w14:textId="6D367977" w:rsidR="007B4B9C" w:rsidRPr="00B51F37" w:rsidRDefault="007B4B9C" w:rsidP="00B51F37">
      <w:pPr>
        <w:autoSpaceDE w:val="0"/>
        <w:autoSpaceDN w:val="0"/>
        <w:adjustRightInd w:val="0"/>
        <w:jc w:val="both"/>
        <w:rPr>
          <w:rFonts w:ascii="Lato" w:hAnsi="Lato" w:cs="Arial"/>
          <w:color w:val="002060"/>
        </w:rPr>
      </w:pPr>
      <w:r w:rsidRPr="00B51F37">
        <w:rPr>
          <w:rFonts w:ascii="Lato" w:hAnsi="Lato" w:cs="Arial"/>
          <w:color w:val="002060"/>
        </w:rPr>
        <w:t xml:space="preserve">The Recruitment &amp; Employment Confederation (REC) is the professional body for the recruitment industry, </w:t>
      </w:r>
      <w:r w:rsidR="008541B9" w:rsidRPr="00B51F37">
        <w:rPr>
          <w:rFonts w:ascii="Lato" w:hAnsi="Lato" w:cs="Arial"/>
          <w:color w:val="002060"/>
        </w:rPr>
        <w:t xml:space="preserve">we represent 3,300 businesses who help more than a million people find a new permanent job each year, and on any given day place nearly 1 million onto a temporary, contract or freelance assignment. </w:t>
      </w:r>
      <w:r w:rsidRPr="00B51F37">
        <w:rPr>
          <w:rFonts w:ascii="Lato" w:hAnsi="Lato" w:cs="Arial"/>
          <w:color w:val="002060"/>
        </w:rPr>
        <w:t xml:space="preserve">Our members recruit across the labour market in both public and private sectors. </w:t>
      </w:r>
      <w:r w:rsidR="008541B9" w:rsidRPr="00B51F37">
        <w:rPr>
          <w:rFonts w:ascii="Lato" w:hAnsi="Lato" w:cs="Arial"/>
          <w:color w:val="002060"/>
        </w:rPr>
        <w:t>We drive standards and empower recruitment businesses to build better futures for their candidates and themselves, providing legal advice, business support, training, and labour market intelligence.</w:t>
      </w:r>
    </w:p>
    <w:p w14:paraId="773086AC" w14:textId="1C912B23" w:rsidR="00E36738" w:rsidRPr="00B51F37" w:rsidRDefault="00E36738" w:rsidP="00B51F37">
      <w:pPr>
        <w:autoSpaceDE w:val="0"/>
        <w:autoSpaceDN w:val="0"/>
        <w:adjustRightInd w:val="0"/>
        <w:ind w:left="360"/>
        <w:jc w:val="both"/>
        <w:rPr>
          <w:rFonts w:ascii="Lato" w:hAnsi="Lato" w:cs="Arial"/>
          <w:color w:val="002060"/>
        </w:rPr>
      </w:pPr>
    </w:p>
    <w:p w14:paraId="4BE56376" w14:textId="68669A96" w:rsidR="00E36738" w:rsidRPr="00B51F37" w:rsidRDefault="00C301A5" w:rsidP="00B51F37">
      <w:pPr>
        <w:autoSpaceDE w:val="0"/>
        <w:autoSpaceDN w:val="0"/>
        <w:adjustRightInd w:val="0"/>
        <w:jc w:val="both"/>
        <w:rPr>
          <w:rFonts w:ascii="Lato" w:hAnsi="Lato" w:cs="Arial"/>
          <w:color w:val="002060"/>
        </w:rPr>
      </w:pPr>
      <w:r w:rsidRPr="00B51F37">
        <w:rPr>
          <w:rFonts w:ascii="Lato" w:hAnsi="Lato" w:cs="Arial"/>
          <w:color w:val="002060"/>
        </w:rPr>
        <w:t>T</w:t>
      </w:r>
      <w:r w:rsidR="00E36738" w:rsidRPr="00B51F37">
        <w:rPr>
          <w:rFonts w:ascii="Lato" w:hAnsi="Lato" w:cs="Arial"/>
          <w:color w:val="002060"/>
        </w:rPr>
        <w:t xml:space="preserve">he REC is committed to working with the government to find workable solutions to solve existing problems which have been highlighted to us by our members. </w:t>
      </w:r>
      <w:r w:rsidR="008541B9" w:rsidRPr="00B51F37">
        <w:rPr>
          <w:rFonts w:ascii="Lato" w:hAnsi="Lato" w:cs="Arial"/>
          <w:color w:val="002060"/>
        </w:rPr>
        <w:t>O</w:t>
      </w:r>
      <w:r w:rsidR="00E36738" w:rsidRPr="00B51F37">
        <w:rPr>
          <w:rFonts w:ascii="Lato" w:hAnsi="Lato" w:cs="Arial"/>
          <w:color w:val="002060"/>
        </w:rPr>
        <w:t>ur relationship with our members gives us valuable insight into what’s happening in the labour market</w:t>
      </w:r>
      <w:r w:rsidR="008541B9" w:rsidRPr="00B51F37">
        <w:rPr>
          <w:rFonts w:ascii="Lato" w:hAnsi="Lato" w:cs="Arial"/>
          <w:color w:val="002060"/>
        </w:rPr>
        <w:t xml:space="preserve"> today, as well as indicating</w:t>
      </w:r>
      <w:r w:rsidR="00E36738" w:rsidRPr="00B51F37">
        <w:rPr>
          <w:rFonts w:ascii="Lato" w:hAnsi="Lato" w:cs="Arial"/>
          <w:color w:val="002060"/>
        </w:rPr>
        <w:t xml:space="preserve"> </w:t>
      </w:r>
      <w:r w:rsidR="008541B9" w:rsidRPr="00B51F37">
        <w:rPr>
          <w:rFonts w:ascii="Lato" w:hAnsi="Lato" w:cs="Arial"/>
          <w:color w:val="002060"/>
        </w:rPr>
        <w:t>what</w:t>
      </w:r>
      <w:r w:rsidR="00E36738" w:rsidRPr="00B51F37">
        <w:rPr>
          <w:rFonts w:ascii="Lato" w:hAnsi="Lato" w:cs="Arial"/>
          <w:color w:val="002060"/>
        </w:rPr>
        <w:t xml:space="preserve"> impact </w:t>
      </w:r>
      <w:r w:rsidR="008541B9" w:rsidRPr="00B51F37">
        <w:rPr>
          <w:rFonts w:ascii="Lato" w:hAnsi="Lato" w:cs="Arial"/>
          <w:color w:val="002060"/>
        </w:rPr>
        <w:t xml:space="preserve">certain </w:t>
      </w:r>
      <w:r w:rsidR="00E36738" w:rsidRPr="00B51F37">
        <w:rPr>
          <w:rFonts w:ascii="Lato" w:hAnsi="Lato" w:cs="Arial"/>
          <w:color w:val="002060"/>
        </w:rPr>
        <w:t xml:space="preserve">policies </w:t>
      </w:r>
      <w:r w:rsidR="008541B9" w:rsidRPr="00B51F37">
        <w:rPr>
          <w:rFonts w:ascii="Lato" w:hAnsi="Lato" w:cs="Arial"/>
          <w:color w:val="002060"/>
        </w:rPr>
        <w:t>will have on the recruitment industry</w:t>
      </w:r>
      <w:r w:rsidR="00E36738" w:rsidRPr="00B51F37">
        <w:rPr>
          <w:rFonts w:ascii="Lato" w:hAnsi="Lato" w:cs="Arial"/>
          <w:color w:val="002060"/>
        </w:rPr>
        <w:t xml:space="preserve"> if implemented.</w:t>
      </w:r>
      <w:r w:rsidR="008541B9" w:rsidRPr="00B51F37">
        <w:rPr>
          <w:color w:val="002060"/>
        </w:rPr>
        <w:t xml:space="preserve"> </w:t>
      </w:r>
    </w:p>
    <w:p w14:paraId="21487086" w14:textId="73118A36" w:rsidR="00777517" w:rsidRDefault="00777517" w:rsidP="00B51F37">
      <w:pPr>
        <w:autoSpaceDE w:val="0"/>
        <w:autoSpaceDN w:val="0"/>
        <w:adjustRightInd w:val="0"/>
        <w:jc w:val="both"/>
        <w:rPr>
          <w:rFonts w:ascii="Lato" w:hAnsi="Lato" w:cs="Arial"/>
          <w:color w:val="0D133D"/>
        </w:rPr>
      </w:pPr>
    </w:p>
    <w:p w14:paraId="4D68DA21" w14:textId="5FE06FD4" w:rsidR="007C20FB" w:rsidRPr="00FB1C9C" w:rsidRDefault="00FB1C9C" w:rsidP="00B51F37">
      <w:pPr>
        <w:autoSpaceDE w:val="0"/>
        <w:autoSpaceDN w:val="0"/>
        <w:adjustRightInd w:val="0"/>
        <w:jc w:val="both"/>
        <w:rPr>
          <w:rFonts w:ascii="Lato" w:hAnsi="Lato" w:cs="Arial"/>
          <w:b/>
          <w:color w:val="0D133D"/>
        </w:rPr>
      </w:pPr>
      <w:r w:rsidRPr="00FB1C9C">
        <w:rPr>
          <w:rFonts w:ascii="Lato" w:hAnsi="Lato" w:cs="Arial"/>
          <w:b/>
          <w:color w:val="0D133D"/>
        </w:rPr>
        <w:t xml:space="preserve">Introduction </w:t>
      </w:r>
    </w:p>
    <w:p w14:paraId="3EBF5FE6" w14:textId="77777777" w:rsidR="00FB1C9C" w:rsidRDefault="00FB1C9C" w:rsidP="00B51F37">
      <w:pPr>
        <w:autoSpaceDE w:val="0"/>
        <w:autoSpaceDN w:val="0"/>
        <w:adjustRightInd w:val="0"/>
        <w:jc w:val="both"/>
        <w:rPr>
          <w:rFonts w:ascii="Lato" w:hAnsi="Lato" w:cs="Arial"/>
          <w:color w:val="0D133D"/>
        </w:rPr>
      </w:pPr>
    </w:p>
    <w:p w14:paraId="34A54641" w14:textId="03CA7D85" w:rsidR="00FB1C9C" w:rsidRPr="00B51F37" w:rsidRDefault="00FB1C9C" w:rsidP="00B51F37">
      <w:pPr>
        <w:autoSpaceDE w:val="0"/>
        <w:autoSpaceDN w:val="0"/>
        <w:adjustRightInd w:val="0"/>
        <w:jc w:val="both"/>
        <w:rPr>
          <w:rFonts w:ascii="Lato" w:hAnsi="Lato" w:cs="Arial"/>
          <w:color w:val="002060"/>
        </w:rPr>
      </w:pPr>
      <w:r w:rsidRPr="00B51F37">
        <w:rPr>
          <w:rFonts w:ascii="Lato" w:hAnsi="Lato" w:cs="Arial"/>
          <w:color w:val="002060"/>
        </w:rPr>
        <w:t xml:space="preserve">The REC welcomes the opportunity to provide evidence to the </w:t>
      </w:r>
      <w:r w:rsidR="00AB50BA" w:rsidRPr="00B51F37">
        <w:rPr>
          <w:rFonts w:ascii="Lato" w:hAnsi="Lato" w:cs="Arial"/>
          <w:color w:val="002060"/>
        </w:rPr>
        <w:t xml:space="preserve">House of Lords </w:t>
      </w:r>
      <w:r w:rsidRPr="00B51F37">
        <w:rPr>
          <w:rFonts w:ascii="Lato" w:hAnsi="Lato" w:cs="Arial"/>
          <w:color w:val="002060"/>
        </w:rPr>
        <w:t>Finance Bill Sub-Committee call for evidence.</w:t>
      </w:r>
    </w:p>
    <w:p w14:paraId="0924234C" w14:textId="77777777" w:rsidR="008541B9" w:rsidRPr="00B51F37" w:rsidRDefault="008541B9" w:rsidP="00B51F37">
      <w:pPr>
        <w:autoSpaceDE w:val="0"/>
        <w:autoSpaceDN w:val="0"/>
        <w:adjustRightInd w:val="0"/>
        <w:jc w:val="both"/>
        <w:rPr>
          <w:rFonts w:ascii="Lato" w:hAnsi="Lato" w:cs="Arial"/>
          <w:color w:val="002060"/>
        </w:rPr>
      </w:pPr>
    </w:p>
    <w:p w14:paraId="2546ED94" w14:textId="1FCFD6F1" w:rsidR="002E6145" w:rsidRPr="00B51F37" w:rsidRDefault="008541B9" w:rsidP="00B51F37">
      <w:pPr>
        <w:autoSpaceDE w:val="0"/>
        <w:autoSpaceDN w:val="0"/>
        <w:adjustRightInd w:val="0"/>
        <w:jc w:val="both"/>
        <w:rPr>
          <w:rFonts w:ascii="Lato" w:hAnsi="Lato" w:cs="Arial"/>
          <w:color w:val="002060"/>
        </w:rPr>
      </w:pPr>
      <w:r w:rsidRPr="00B51F37">
        <w:rPr>
          <w:rFonts w:ascii="Lato" w:hAnsi="Lato" w:cs="Arial"/>
          <w:color w:val="002060"/>
        </w:rPr>
        <w:t>F</w:t>
      </w:r>
      <w:r w:rsidR="00FB1C9C" w:rsidRPr="00B51F37">
        <w:rPr>
          <w:rFonts w:ascii="Lato" w:hAnsi="Lato" w:cs="Arial"/>
          <w:color w:val="002060"/>
        </w:rPr>
        <w:t xml:space="preserve">irms in the recruitment industry place </w:t>
      </w:r>
      <w:r w:rsidRPr="00B51F37">
        <w:rPr>
          <w:rFonts w:ascii="Lato" w:hAnsi="Lato" w:cs="Arial"/>
          <w:color w:val="002060"/>
        </w:rPr>
        <w:t>nearly 1</w:t>
      </w:r>
      <w:r w:rsidR="00FB1C9C" w:rsidRPr="00B51F37">
        <w:rPr>
          <w:rFonts w:ascii="Lato" w:hAnsi="Lato" w:cs="Arial"/>
          <w:color w:val="002060"/>
        </w:rPr>
        <w:t xml:space="preserve"> million people into temporary and contract work</w:t>
      </w:r>
      <w:r w:rsidRPr="00B51F37">
        <w:rPr>
          <w:rFonts w:ascii="Lato" w:hAnsi="Lato" w:cs="Arial"/>
          <w:color w:val="002060"/>
        </w:rPr>
        <w:t xml:space="preserve"> every day,</w:t>
      </w:r>
      <w:r w:rsidR="00AB50BA" w:rsidRPr="00B51F37">
        <w:rPr>
          <w:rFonts w:ascii="Lato" w:hAnsi="Lato" w:cs="Arial"/>
          <w:color w:val="002060"/>
        </w:rPr>
        <w:t xml:space="preserve"> a</w:t>
      </w:r>
      <w:r w:rsidRPr="00B51F37">
        <w:rPr>
          <w:rFonts w:ascii="Lato" w:hAnsi="Lato" w:cs="Arial"/>
          <w:color w:val="002060"/>
        </w:rPr>
        <w:t>nd 1</w:t>
      </w:r>
      <w:r w:rsidR="00AB50BA" w:rsidRPr="00B51F37">
        <w:rPr>
          <w:rFonts w:ascii="Lato" w:hAnsi="Lato" w:cs="Arial"/>
          <w:color w:val="002060"/>
        </w:rPr>
        <w:t xml:space="preserve"> million </w:t>
      </w:r>
      <w:r w:rsidRPr="00B51F37">
        <w:rPr>
          <w:rFonts w:ascii="Lato" w:hAnsi="Lato" w:cs="Arial"/>
          <w:color w:val="002060"/>
        </w:rPr>
        <w:t xml:space="preserve">more into </w:t>
      </w:r>
      <w:r w:rsidR="00AB50BA" w:rsidRPr="00B51F37">
        <w:rPr>
          <w:rFonts w:ascii="Lato" w:hAnsi="Lato" w:cs="Arial"/>
          <w:color w:val="002060"/>
        </w:rPr>
        <w:t>permanent placements</w:t>
      </w:r>
      <w:r w:rsidRPr="00B51F37">
        <w:rPr>
          <w:rFonts w:ascii="Lato" w:hAnsi="Lato" w:cs="Arial"/>
          <w:color w:val="002060"/>
        </w:rPr>
        <w:t xml:space="preserve"> every year</w:t>
      </w:r>
      <w:r w:rsidR="00FB1C9C" w:rsidRPr="00B51F37">
        <w:rPr>
          <w:rFonts w:ascii="Lato" w:hAnsi="Lato" w:cs="Arial"/>
          <w:color w:val="002060"/>
        </w:rPr>
        <w:t xml:space="preserve">. That makes recruiters experts when it comes to the world of work. </w:t>
      </w:r>
      <w:r w:rsidR="002E6145" w:rsidRPr="00B51F37">
        <w:rPr>
          <w:rFonts w:ascii="Lato" w:hAnsi="Lato" w:cs="Arial"/>
          <w:color w:val="002060"/>
        </w:rPr>
        <w:t xml:space="preserve">On 6 April, the off-payroll rules for the private sector changed to mirror the rules that have applied in the public sector since April 2017. So, clients who are not exempt from the off-payroll rules </w:t>
      </w:r>
      <w:r w:rsidR="00BF55EF" w:rsidRPr="00B51F37">
        <w:rPr>
          <w:rFonts w:ascii="Lato" w:hAnsi="Lato" w:cs="Arial"/>
          <w:color w:val="002060"/>
        </w:rPr>
        <w:t>-</w:t>
      </w:r>
      <w:r w:rsidR="002E6145" w:rsidRPr="00B51F37">
        <w:rPr>
          <w:rFonts w:ascii="Lato" w:hAnsi="Lato" w:cs="Arial"/>
          <w:color w:val="002060"/>
        </w:rPr>
        <w:t xml:space="preserve"> that is medium and large organisations in the private sector</w:t>
      </w:r>
      <w:r w:rsidR="00BF55EF" w:rsidRPr="00B51F37">
        <w:rPr>
          <w:rFonts w:ascii="Lato" w:hAnsi="Lato" w:cs="Arial"/>
          <w:color w:val="002060"/>
        </w:rPr>
        <w:t xml:space="preserve"> - </w:t>
      </w:r>
      <w:r w:rsidR="002E6145" w:rsidRPr="00B51F37">
        <w:rPr>
          <w:rFonts w:ascii="Lato" w:hAnsi="Lato" w:cs="Arial"/>
          <w:color w:val="002060"/>
        </w:rPr>
        <w:t>are now legally required under the Income Tax (Earnings and Pensions) Act 2003 (ITEPA) to assess the IR35 status of each engagement for contractors who have a material interest or non-material interest in an intermediary – typically a personal services company (PSC). Clients are then required to communicate their IR35 status decision in the form of a Status Determination Statement (SDS) and then give it to the contractor and any employment businesses in the supply chain.</w:t>
      </w:r>
    </w:p>
    <w:p w14:paraId="63978016" w14:textId="1A9FB960" w:rsidR="00FB1C9C" w:rsidRPr="00B51F37" w:rsidRDefault="00FB1C9C" w:rsidP="00B51F37">
      <w:pPr>
        <w:autoSpaceDE w:val="0"/>
        <w:autoSpaceDN w:val="0"/>
        <w:adjustRightInd w:val="0"/>
        <w:jc w:val="both"/>
        <w:rPr>
          <w:rFonts w:ascii="Lato" w:hAnsi="Lato" w:cs="Arial"/>
          <w:color w:val="002060"/>
        </w:rPr>
      </w:pPr>
    </w:p>
    <w:p w14:paraId="18A40E07" w14:textId="597B9326" w:rsidR="004B472A" w:rsidRPr="00B51F37" w:rsidRDefault="00FB1C9C" w:rsidP="00B51F37">
      <w:pPr>
        <w:autoSpaceDE w:val="0"/>
        <w:autoSpaceDN w:val="0"/>
        <w:adjustRightInd w:val="0"/>
        <w:jc w:val="both"/>
        <w:rPr>
          <w:rFonts w:ascii="Lato" w:hAnsi="Lato" w:cs="Arial"/>
          <w:color w:val="002060"/>
        </w:rPr>
      </w:pPr>
      <w:r w:rsidRPr="00B51F37">
        <w:rPr>
          <w:rFonts w:ascii="Lato" w:hAnsi="Lato" w:cs="Arial"/>
          <w:color w:val="002060"/>
        </w:rPr>
        <w:t>We agree that it is vital that people pay the right amount of tax</w:t>
      </w:r>
      <w:r w:rsidR="00AB50BA" w:rsidRPr="00B51F37">
        <w:rPr>
          <w:rFonts w:ascii="Lato" w:hAnsi="Lato" w:cs="Arial"/>
          <w:color w:val="002060"/>
        </w:rPr>
        <w:t>.</w:t>
      </w:r>
      <w:r w:rsidR="002369F4" w:rsidRPr="00B51F37">
        <w:rPr>
          <w:rFonts w:ascii="Lato" w:hAnsi="Lato" w:cs="Arial"/>
          <w:color w:val="002060"/>
        </w:rPr>
        <w:t xml:space="preserve"> </w:t>
      </w:r>
      <w:r w:rsidR="00AB50BA" w:rsidRPr="00B51F37">
        <w:rPr>
          <w:rFonts w:ascii="Lato" w:hAnsi="Lato" w:cs="Arial"/>
          <w:color w:val="002060"/>
        </w:rPr>
        <w:t xml:space="preserve">But </w:t>
      </w:r>
      <w:r w:rsidR="002E6145" w:rsidRPr="00B51F37">
        <w:rPr>
          <w:rFonts w:ascii="Lato" w:hAnsi="Lato" w:cs="Arial"/>
          <w:color w:val="002060"/>
        </w:rPr>
        <w:t xml:space="preserve">as we have stated previously, </w:t>
      </w:r>
      <w:r w:rsidR="00AB50BA" w:rsidRPr="00B51F37">
        <w:rPr>
          <w:rFonts w:ascii="Lato" w:hAnsi="Lato" w:cs="Arial"/>
          <w:color w:val="002060"/>
        </w:rPr>
        <w:t xml:space="preserve">to </w:t>
      </w:r>
      <w:r w:rsidR="00164421" w:rsidRPr="00B51F37">
        <w:rPr>
          <w:rFonts w:ascii="Lato" w:hAnsi="Lato" w:cs="Arial"/>
          <w:color w:val="002060"/>
        </w:rPr>
        <w:t xml:space="preserve">ensure the system works, the government must get the legislation right. </w:t>
      </w:r>
      <w:r w:rsidRPr="00B51F37">
        <w:rPr>
          <w:rFonts w:ascii="Lato" w:hAnsi="Lato" w:cs="Arial"/>
          <w:color w:val="002060"/>
        </w:rPr>
        <w:t xml:space="preserve">Our primary concern is that the effective regulation of umbrella </w:t>
      </w:r>
      <w:r w:rsidR="00155CDA" w:rsidRPr="00B51F37">
        <w:rPr>
          <w:rFonts w:ascii="Lato" w:hAnsi="Lato" w:cs="Arial"/>
          <w:color w:val="002060"/>
        </w:rPr>
        <w:t>compan</w:t>
      </w:r>
      <w:r w:rsidR="00C93D3D" w:rsidRPr="00B51F37">
        <w:rPr>
          <w:rFonts w:ascii="Lato" w:hAnsi="Lato" w:cs="Arial"/>
          <w:color w:val="002060"/>
        </w:rPr>
        <w:t>ies</w:t>
      </w:r>
      <w:r w:rsidRPr="00B51F37">
        <w:rPr>
          <w:rFonts w:ascii="Lato" w:hAnsi="Lato" w:cs="Arial"/>
          <w:color w:val="002060"/>
        </w:rPr>
        <w:t xml:space="preserve"> </w:t>
      </w:r>
      <w:r w:rsidR="002E6145" w:rsidRPr="00B51F37">
        <w:rPr>
          <w:rFonts w:ascii="Lato" w:hAnsi="Lato" w:cs="Arial"/>
          <w:color w:val="002060"/>
        </w:rPr>
        <w:t>is still not in place</w:t>
      </w:r>
      <w:r w:rsidR="00753715" w:rsidRPr="00B51F37">
        <w:rPr>
          <w:rFonts w:ascii="Lato" w:hAnsi="Lato" w:cs="Arial"/>
          <w:color w:val="002060"/>
        </w:rPr>
        <w:t xml:space="preserve"> following the absence of an Employment Bill</w:t>
      </w:r>
      <w:r w:rsidR="00BF55EF" w:rsidRPr="00B51F37">
        <w:rPr>
          <w:rFonts w:ascii="Lato" w:hAnsi="Lato" w:cs="Arial"/>
          <w:color w:val="002060"/>
        </w:rPr>
        <w:t>.</w:t>
      </w:r>
      <w:r w:rsidR="004B472A" w:rsidRPr="00B51F37">
        <w:rPr>
          <w:rFonts w:ascii="Lato" w:hAnsi="Lato" w:cs="Arial"/>
          <w:color w:val="002060"/>
        </w:rPr>
        <w:t xml:space="preserve"> </w:t>
      </w:r>
      <w:r w:rsidR="00BF55EF" w:rsidRPr="00B51F37">
        <w:rPr>
          <w:rFonts w:ascii="Lato" w:hAnsi="Lato" w:cs="Arial"/>
          <w:color w:val="002060"/>
        </w:rPr>
        <w:t>A</w:t>
      </w:r>
      <w:r w:rsidR="004B472A" w:rsidRPr="00B51F37">
        <w:rPr>
          <w:rFonts w:ascii="Lato" w:hAnsi="Lato" w:cs="Arial"/>
          <w:color w:val="002060"/>
        </w:rPr>
        <w:t>lthough we’re pleased that the Department for Business, Energy and Industrial Strategy (BEIS) is in the process of drafting the definition for umbrella companies, the absence of regulation</w:t>
      </w:r>
      <w:r w:rsidR="00753715" w:rsidRPr="00B51F37">
        <w:rPr>
          <w:rFonts w:ascii="Lato" w:hAnsi="Lato" w:cs="Arial"/>
          <w:color w:val="002060"/>
        </w:rPr>
        <w:t xml:space="preserve"> today </w:t>
      </w:r>
      <w:r w:rsidR="004B472A" w:rsidRPr="00B51F37">
        <w:rPr>
          <w:rFonts w:ascii="Lato" w:hAnsi="Lato" w:cs="Arial"/>
          <w:color w:val="002060"/>
        </w:rPr>
        <w:t xml:space="preserve">is creating </w:t>
      </w:r>
      <w:r w:rsidRPr="00B51F37">
        <w:rPr>
          <w:rFonts w:ascii="Lato" w:hAnsi="Lato" w:cs="Arial"/>
          <w:color w:val="002060"/>
        </w:rPr>
        <w:t xml:space="preserve">opportunities for avoidance. </w:t>
      </w:r>
      <w:r w:rsidR="004B472A" w:rsidRPr="00B51F37">
        <w:rPr>
          <w:rFonts w:ascii="Lato" w:hAnsi="Lato" w:cs="Arial"/>
          <w:color w:val="002060"/>
        </w:rPr>
        <w:t xml:space="preserve">This is particularly frustrating for compliant companies, who do not feel we have a level playing field at present. </w:t>
      </w:r>
    </w:p>
    <w:p w14:paraId="6A750669" w14:textId="2683DA04" w:rsidR="007C20FB" w:rsidRDefault="007C20FB" w:rsidP="00B51F37">
      <w:pPr>
        <w:autoSpaceDE w:val="0"/>
        <w:autoSpaceDN w:val="0"/>
        <w:adjustRightInd w:val="0"/>
        <w:jc w:val="both"/>
        <w:rPr>
          <w:rFonts w:ascii="Lato" w:hAnsi="Lato" w:cs="Arial"/>
          <w:color w:val="0D133D"/>
        </w:rPr>
      </w:pPr>
    </w:p>
    <w:p w14:paraId="15E5B610" w14:textId="77777777" w:rsidR="000D6019" w:rsidRDefault="000D6019" w:rsidP="00B51F37">
      <w:pPr>
        <w:autoSpaceDE w:val="0"/>
        <w:autoSpaceDN w:val="0"/>
        <w:adjustRightInd w:val="0"/>
        <w:jc w:val="both"/>
        <w:rPr>
          <w:rFonts w:ascii="Lato" w:hAnsi="Lato" w:cs="Arial"/>
          <w:color w:val="0D133D"/>
        </w:rPr>
      </w:pPr>
    </w:p>
    <w:p w14:paraId="2ABC6E54" w14:textId="77777777" w:rsidR="00CE3621" w:rsidRDefault="00CE3621" w:rsidP="00B51F37">
      <w:pPr>
        <w:autoSpaceDE w:val="0"/>
        <w:autoSpaceDN w:val="0"/>
        <w:adjustRightInd w:val="0"/>
        <w:jc w:val="both"/>
        <w:rPr>
          <w:rFonts w:ascii="Lato" w:hAnsi="Lato" w:cs="Arial"/>
          <w:b/>
          <w:color w:val="0D133D"/>
        </w:rPr>
      </w:pPr>
    </w:p>
    <w:p w14:paraId="741B4584" w14:textId="76E9D218" w:rsidR="00CE3621" w:rsidRDefault="00CE3621" w:rsidP="00B51F37">
      <w:pPr>
        <w:autoSpaceDE w:val="0"/>
        <w:autoSpaceDN w:val="0"/>
        <w:adjustRightInd w:val="0"/>
        <w:jc w:val="both"/>
        <w:rPr>
          <w:rFonts w:ascii="Lato" w:hAnsi="Lato" w:cs="Arial"/>
          <w:b/>
          <w:color w:val="0D133D"/>
        </w:rPr>
      </w:pPr>
    </w:p>
    <w:p w14:paraId="032DD849" w14:textId="10CF1BD9" w:rsidR="000A166B" w:rsidRDefault="000A166B" w:rsidP="00B51F37">
      <w:pPr>
        <w:autoSpaceDE w:val="0"/>
        <w:autoSpaceDN w:val="0"/>
        <w:adjustRightInd w:val="0"/>
        <w:jc w:val="both"/>
        <w:rPr>
          <w:rFonts w:ascii="Lato" w:hAnsi="Lato" w:cs="Arial"/>
          <w:b/>
          <w:color w:val="0D133D"/>
        </w:rPr>
      </w:pPr>
    </w:p>
    <w:p w14:paraId="746C1791" w14:textId="71D10E4F" w:rsidR="000A166B" w:rsidRDefault="000A166B" w:rsidP="00B51F37">
      <w:pPr>
        <w:autoSpaceDE w:val="0"/>
        <w:autoSpaceDN w:val="0"/>
        <w:adjustRightInd w:val="0"/>
        <w:jc w:val="both"/>
        <w:rPr>
          <w:rFonts w:ascii="Lato" w:hAnsi="Lato" w:cs="Arial"/>
          <w:b/>
          <w:color w:val="0D133D"/>
        </w:rPr>
      </w:pPr>
    </w:p>
    <w:p w14:paraId="7C1ED79E" w14:textId="4642D065" w:rsidR="000A166B" w:rsidRDefault="000A166B" w:rsidP="00B51F37">
      <w:pPr>
        <w:autoSpaceDE w:val="0"/>
        <w:autoSpaceDN w:val="0"/>
        <w:adjustRightInd w:val="0"/>
        <w:jc w:val="both"/>
        <w:rPr>
          <w:rFonts w:ascii="Lato" w:hAnsi="Lato" w:cs="Arial"/>
          <w:b/>
          <w:color w:val="0D133D"/>
        </w:rPr>
      </w:pPr>
    </w:p>
    <w:p w14:paraId="0C41803F" w14:textId="77777777" w:rsidR="000A166B" w:rsidRDefault="000A166B" w:rsidP="00B51F37">
      <w:pPr>
        <w:autoSpaceDE w:val="0"/>
        <w:autoSpaceDN w:val="0"/>
        <w:adjustRightInd w:val="0"/>
        <w:jc w:val="both"/>
        <w:rPr>
          <w:rFonts w:ascii="Lato" w:hAnsi="Lato" w:cs="Arial"/>
          <w:b/>
          <w:color w:val="0D133D"/>
        </w:rPr>
      </w:pPr>
    </w:p>
    <w:p w14:paraId="195C0CD6" w14:textId="77777777" w:rsidR="00CE3621" w:rsidRDefault="00CE3621" w:rsidP="00B51F37">
      <w:pPr>
        <w:autoSpaceDE w:val="0"/>
        <w:autoSpaceDN w:val="0"/>
        <w:adjustRightInd w:val="0"/>
        <w:jc w:val="both"/>
        <w:rPr>
          <w:rFonts w:ascii="Lato" w:hAnsi="Lato" w:cs="Arial"/>
          <w:b/>
          <w:color w:val="0D133D"/>
        </w:rPr>
      </w:pPr>
    </w:p>
    <w:p w14:paraId="0DA97868" w14:textId="38E5A274" w:rsidR="008541B9" w:rsidRDefault="008541B9" w:rsidP="00B51F37">
      <w:pPr>
        <w:autoSpaceDE w:val="0"/>
        <w:autoSpaceDN w:val="0"/>
        <w:adjustRightInd w:val="0"/>
        <w:jc w:val="both"/>
        <w:rPr>
          <w:rFonts w:ascii="Lato" w:hAnsi="Lato" w:cs="Arial"/>
          <w:b/>
          <w:color w:val="0D133D"/>
        </w:rPr>
      </w:pPr>
      <w:r w:rsidRPr="008541B9">
        <w:rPr>
          <w:rFonts w:ascii="Lato" w:hAnsi="Lato" w:cs="Arial"/>
          <w:b/>
          <w:color w:val="0D133D"/>
        </w:rPr>
        <w:lastRenderedPageBreak/>
        <w:t>Has the recent extension of the off-payroll working rules to the private sector made it more difficult for engagers to hire people with the right skills and expertise? To what extent has its introduction contributed to job vacancies?</w:t>
      </w:r>
    </w:p>
    <w:p w14:paraId="5C962051" w14:textId="77777777" w:rsidR="000A166B" w:rsidRPr="008541B9" w:rsidRDefault="000A166B" w:rsidP="00B51F37">
      <w:pPr>
        <w:autoSpaceDE w:val="0"/>
        <w:autoSpaceDN w:val="0"/>
        <w:adjustRightInd w:val="0"/>
        <w:jc w:val="both"/>
        <w:rPr>
          <w:rFonts w:ascii="Lato" w:hAnsi="Lato" w:cs="Arial"/>
          <w:b/>
          <w:color w:val="0D133D"/>
        </w:rPr>
      </w:pPr>
    </w:p>
    <w:p w14:paraId="18FF7465" w14:textId="7356C369" w:rsidR="00216CC0" w:rsidRPr="00B51F37" w:rsidRDefault="000A166B" w:rsidP="00B51F37">
      <w:pPr>
        <w:pStyle w:val="ListParagraph"/>
        <w:numPr>
          <w:ilvl w:val="0"/>
          <w:numId w:val="1"/>
        </w:numPr>
        <w:jc w:val="both"/>
        <w:rPr>
          <w:rFonts w:ascii="Lato" w:hAnsi="Lato" w:cs="Arial"/>
          <w:color w:val="002060"/>
        </w:rPr>
      </w:pPr>
      <w:r w:rsidRPr="00B51F37">
        <w:rPr>
          <w:rFonts w:ascii="Lato" w:hAnsi="Lato" w:cs="Arial"/>
          <w:color w:val="002060"/>
        </w:rPr>
        <w:t>Feedback from recruiters shows that changes in off-payroll working are still affecting both placements and the availability of flexible workers</w:t>
      </w:r>
      <w:r w:rsidR="00AB6314" w:rsidRPr="00B51F37">
        <w:rPr>
          <w:rFonts w:ascii="Lato" w:hAnsi="Lato" w:cs="Arial"/>
          <w:color w:val="002060"/>
        </w:rPr>
        <w:t>.</w:t>
      </w:r>
      <w:r w:rsidRPr="00B51F37">
        <w:rPr>
          <w:rFonts w:ascii="Lato" w:hAnsi="Lato" w:cs="Arial"/>
          <w:color w:val="002060"/>
        </w:rPr>
        <w:t xml:space="preserve">  According to </w:t>
      </w:r>
      <w:r w:rsidR="00AE3070" w:rsidRPr="00B51F37">
        <w:rPr>
          <w:rFonts w:ascii="Lato" w:hAnsi="Lato" w:cs="Arial"/>
          <w:color w:val="002060"/>
        </w:rPr>
        <w:t xml:space="preserve">the </w:t>
      </w:r>
      <w:r w:rsidRPr="00B51F37">
        <w:rPr>
          <w:rFonts w:ascii="Lato" w:hAnsi="Lato" w:cs="Arial"/>
          <w:color w:val="002060"/>
        </w:rPr>
        <w:t xml:space="preserve">REC's </w:t>
      </w:r>
      <w:r w:rsidR="00AE3070" w:rsidRPr="00B51F37">
        <w:rPr>
          <w:rFonts w:ascii="Lato" w:hAnsi="Lato" w:cs="Arial"/>
          <w:color w:val="002060"/>
        </w:rPr>
        <w:t xml:space="preserve">latest </w:t>
      </w:r>
      <w:r w:rsidRPr="00B51F37">
        <w:rPr>
          <w:rFonts w:ascii="Lato" w:hAnsi="Lato" w:cs="Arial"/>
          <w:color w:val="002060"/>
        </w:rPr>
        <w:t>Report on Jobs data (</w:t>
      </w:r>
      <w:r w:rsidRPr="00B51F37">
        <w:rPr>
          <w:rFonts w:ascii="Lato" w:hAnsi="Lato" w:cs="Arial"/>
          <w:i/>
          <w:iCs/>
          <w:color w:val="002060"/>
        </w:rPr>
        <w:t>Figure 1</w:t>
      </w:r>
      <w:r w:rsidRPr="00B51F37">
        <w:rPr>
          <w:rFonts w:ascii="Lato" w:hAnsi="Lato" w:cs="Arial"/>
          <w:color w:val="002060"/>
        </w:rPr>
        <w:t>)</w:t>
      </w:r>
      <w:r w:rsidR="009D121C" w:rsidRPr="00B51F37">
        <w:rPr>
          <w:rFonts w:ascii="Lato" w:hAnsi="Lato" w:cs="Arial"/>
          <w:color w:val="002060"/>
        </w:rPr>
        <w:t>,</w:t>
      </w:r>
      <w:r w:rsidRPr="00B51F37">
        <w:rPr>
          <w:rFonts w:ascii="Lato" w:hAnsi="Lato" w:cs="Arial"/>
          <w:color w:val="002060"/>
        </w:rPr>
        <w:t xml:space="preserve"> the number of people available for new roles has continued to decline month on month since May</w:t>
      </w:r>
      <w:r w:rsidR="00720ED5" w:rsidRPr="00B51F37">
        <w:rPr>
          <w:rFonts w:ascii="Lato" w:hAnsi="Lato" w:cs="Arial"/>
          <w:color w:val="002060"/>
        </w:rPr>
        <w:t xml:space="preserve">. </w:t>
      </w:r>
    </w:p>
    <w:p w14:paraId="08C53CFA" w14:textId="4944E83A" w:rsidR="007413A3" w:rsidRDefault="007413A3" w:rsidP="00B51F37">
      <w:pPr>
        <w:ind w:left="360"/>
        <w:jc w:val="both"/>
        <w:rPr>
          <w:rFonts w:ascii="Lato" w:hAnsi="Lato" w:cs="Arial"/>
          <w:color w:val="0D133D"/>
        </w:rPr>
      </w:pPr>
    </w:p>
    <w:p w14:paraId="4E2A9F21" w14:textId="49A41C98" w:rsidR="00B05B7E" w:rsidRPr="000041F9" w:rsidRDefault="00B05B7E" w:rsidP="00B51F37">
      <w:pPr>
        <w:ind w:left="360"/>
        <w:jc w:val="both"/>
        <w:rPr>
          <w:rFonts w:ascii="Lato" w:hAnsi="Lato" w:cs="Arial"/>
          <w:color w:val="0D133D"/>
        </w:rPr>
      </w:pPr>
      <w:r w:rsidRPr="00B05B7E">
        <w:rPr>
          <w:rFonts w:ascii="Times New Roman" w:hAnsi="Times New Roman"/>
          <w:noProof/>
          <w:color w:val="000000"/>
          <w:sz w:val="24"/>
        </w:rPr>
        <w:drawing>
          <wp:anchor distT="0" distB="0" distL="114300" distR="114300" simplePos="0" relativeHeight="251670528" behindDoc="0" locked="0" layoutInCell="1" allowOverlap="1" wp14:anchorId="3C616330" wp14:editId="327B8250">
            <wp:simplePos x="0" y="0"/>
            <wp:positionH relativeFrom="column">
              <wp:posOffset>360512</wp:posOffset>
            </wp:positionH>
            <wp:positionV relativeFrom="paragraph">
              <wp:posOffset>2321560</wp:posOffset>
            </wp:positionV>
            <wp:extent cx="3594100" cy="2174240"/>
            <wp:effectExtent l="0" t="0" r="6350" b="0"/>
            <wp:wrapNone/>
            <wp:docPr id="7" name="Picture 4"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Table&#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l="-2" t="46573" r="227"/>
                    <a:stretch>
                      <a:fillRect/>
                    </a:stretch>
                  </pic:blipFill>
                  <pic:spPr bwMode="auto">
                    <a:xfrm>
                      <a:off x="0" y="0"/>
                      <a:ext cx="3594100" cy="2174240"/>
                    </a:xfrm>
                    <a:prstGeom prst="rect">
                      <a:avLst/>
                    </a:prstGeom>
                    <a:noFill/>
                  </pic:spPr>
                </pic:pic>
              </a:graphicData>
            </a:graphic>
            <wp14:sizeRelH relativeFrom="margin">
              <wp14:pctWidth>0</wp14:pctWidth>
            </wp14:sizeRelH>
            <wp14:sizeRelV relativeFrom="margin">
              <wp14:pctHeight>0</wp14:pctHeight>
            </wp14:sizeRelV>
          </wp:anchor>
        </w:drawing>
      </w:r>
      <w:r w:rsidRPr="00B05B7E">
        <w:rPr>
          <w:noProof/>
          <w:color w:val="000000"/>
        </w:rPr>
        <w:drawing>
          <wp:inline distT="0" distB="0" distL="0" distR="0" wp14:anchorId="50C48005" wp14:editId="15323E52">
            <wp:extent cx="3988775" cy="2458528"/>
            <wp:effectExtent l="0" t="0" r="0" b="0"/>
            <wp:docPr id="2" name="Picture 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histogram&#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95488" cy="2462666"/>
                    </a:xfrm>
                    <a:prstGeom prst="rect">
                      <a:avLst/>
                    </a:prstGeom>
                    <a:noFill/>
                  </pic:spPr>
                </pic:pic>
              </a:graphicData>
            </a:graphic>
          </wp:inline>
        </w:drawing>
      </w:r>
    </w:p>
    <w:p w14:paraId="152032DD" w14:textId="27AA419E" w:rsidR="000A166B" w:rsidRDefault="000A166B" w:rsidP="00B51F37">
      <w:pPr>
        <w:jc w:val="both"/>
        <w:rPr>
          <w:rFonts w:ascii="Lato" w:hAnsi="Lato" w:cs="Arial"/>
          <w:color w:val="0D133D"/>
          <w:highlight w:val="yellow"/>
        </w:rPr>
      </w:pPr>
    </w:p>
    <w:p w14:paraId="7586CB72" w14:textId="4F37B9A4" w:rsidR="00B05B7E" w:rsidRDefault="00B05B7E" w:rsidP="00B51F37">
      <w:pPr>
        <w:jc w:val="both"/>
        <w:rPr>
          <w:rFonts w:ascii="Lato" w:hAnsi="Lato" w:cs="Arial"/>
          <w:color w:val="0D133D"/>
          <w:highlight w:val="yellow"/>
        </w:rPr>
      </w:pPr>
    </w:p>
    <w:p w14:paraId="27D9B1B4" w14:textId="65831A29" w:rsidR="00B05B7E" w:rsidRDefault="00B05B7E" w:rsidP="00B51F37">
      <w:pPr>
        <w:jc w:val="both"/>
        <w:rPr>
          <w:rFonts w:ascii="Lato" w:hAnsi="Lato" w:cs="Arial"/>
          <w:color w:val="0D133D"/>
          <w:highlight w:val="yellow"/>
        </w:rPr>
      </w:pPr>
    </w:p>
    <w:p w14:paraId="718F7394" w14:textId="2751E90E" w:rsidR="00B05B7E" w:rsidRDefault="00B05B7E" w:rsidP="00B51F37">
      <w:pPr>
        <w:jc w:val="both"/>
        <w:rPr>
          <w:rFonts w:ascii="Lato" w:hAnsi="Lato" w:cs="Arial"/>
          <w:color w:val="0D133D"/>
          <w:highlight w:val="yellow"/>
        </w:rPr>
      </w:pPr>
    </w:p>
    <w:p w14:paraId="0C669455" w14:textId="565536FA" w:rsidR="00B05B7E" w:rsidRDefault="00B05B7E" w:rsidP="00B51F37">
      <w:pPr>
        <w:jc w:val="both"/>
        <w:rPr>
          <w:rFonts w:ascii="Lato" w:hAnsi="Lato" w:cs="Arial"/>
          <w:color w:val="0D133D"/>
          <w:highlight w:val="yellow"/>
        </w:rPr>
      </w:pPr>
    </w:p>
    <w:p w14:paraId="1E2AF435" w14:textId="70E7517E" w:rsidR="00B05B7E" w:rsidRDefault="00B05B7E" w:rsidP="00B51F37">
      <w:pPr>
        <w:jc w:val="both"/>
        <w:rPr>
          <w:rFonts w:ascii="Lato" w:hAnsi="Lato" w:cs="Arial"/>
          <w:color w:val="0D133D"/>
          <w:highlight w:val="yellow"/>
        </w:rPr>
      </w:pPr>
    </w:p>
    <w:p w14:paraId="752E5079" w14:textId="0CD21BFC" w:rsidR="00B05B7E" w:rsidRDefault="00B05B7E" w:rsidP="00B51F37">
      <w:pPr>
        <w:jc w:val="both"/>
        <w:rPr>
          <w:rFonts w:ascii="Lato" w:hAnsi="Lato" w:cs="Arial"/>
          <w:color w:val="0D133D"/>
          <w:highlight w:val="yellow"/>
        </w:rPr>
      </w:pPr>
    </w:p>
    <w:p w14:paraId="738846EB" w14:textId="4E15A44D" w:rsidR="00B05B7E" w:rsidRDefault="00B05B7E" w:rsidP="00B51F37">
      <w:pPr>
        <w:jc w:val="both"/>
        <w:rPr>
          <w:rFonts w:ascii="Lato" w:hAnsi="Lato" w:cs="Arial"/>
          <w:color w:val="0D133D"/>
          <w:highlight w:val="yellow"/>
        </w:rPr>
      </w:pPr>
    </w:p>
    <w:p w14:paraId="2F4CEC6D" w14:textId="3516CBE5" w:rsidR="00B05B7E" w:rsidRDefault="00B05B7E" w:rsidP="00B51F37">
      <w:pPr>
        <w:jc w:val="both"/>
        <w:rPr>
          <w:rFonts w:ascii="Lato" w:hAnsi="Lato" w:cs="Arial"/>
          <w:color w:val="0D133D"/>
          <w:highlight w:val="yellow"/>
        </w:rPr>
      </w:pPr>
    </w:p>
    <w:p w14:paraId="4698CFCE" w14:textId="6F68F3D7" w:rsidR="00B05B7E" w:rsidRDefault="00B05B7E" w:rsidP="00B51F37">
      <w:pPr>
        <w:jc w:val="both"/>
        <w:rPr>
          <w:rFonts w:ascii="Lato" w:hAnsi="Lato" w:cs="Arial"/>
          <w:color w:val="0D133D"/>
          <w:highlight w:val="yellow"/>
        </w:rPr>
      </w:pPr>
    </w:p>
    <w:p w14:paraId="285F6F6D" w14:textId="704266DC" w:rsidR="00B05B7E" w:rsidRDefault="00B05B7E" w:rsidP="00B51F37">
      <w:pPr>
        <w:jc w:val="both"/>
        <w:rPr>
          <w:rFonts w:ascii="Lato" w:hAnsi="Lato" w:cs="Arial"/>
          <w:color w:val="0D133D"/>
          <w:highlight w:val="yellow"/>
        </w:rPr>
      </w:pPr>
    </w:p>
    <w:p w14:paraId="3E7103F4" w14:textId="77777777" w:rsidR="00B05B7E" w:rsidRPr="00AE3070" w:rsidRDefault="00B05B7E" w:rsidP="00B51F37">
      <w:pPr>
        <w:jc w:val="both"/>
        <w:rPr>
          <w:rFonts w:ascii="Lato" w:hAnsi="Lato" w:cs="Arial"/>
          <w:color w:val="0D133D"/>
          <w:highlight w:val="yellow"/>
        </w:rPr>
      </w:pPr>
    </w:p>
    <w:p w14:paraId="3AEDB070" w14:textId="6915C77C" w:rsidR="003D6BE5" w:rsidRPr="00B51F37" w:rsidRDefault="000A166B" w:rsidP="00B51F37">
      <w:pPr>
        <w:pStyle w:val="ListParagraph"/>
        <w:jc w:val="both"/>
        <w:rPr>
          <w:rFonts w:ascii="Lato" w:hAnsi="Lato" w:cs="Arial"/>
          <w:i/>
          <w:iCs/>
          <w:color w:val="002060"/>
        </w:rPr>
      </w:pPr>
      <w:r w:rsidRPr="00B51F37">
        <w:rPr>
          <w:rFonts w:ascii="Lato" w:hAnsi="Lato" w:cs="Arial"/>
          <w:i/>
          <w:iCs/>
          <w:color w:val="002060"/>
        </w:rPr>
        <w:t>Figure 1: Staff availability (Report on Jobs</w:t>
      </w:r>
      <w:r w:rsidR="002C57D8" w:rsidRPr="00B51F37">
        <w:rPr>
          <w:rFonts w:ascii="Lato" w:hAnsi="Lato" w:cs="Arial"/>
          <w:i/>
          <w:iCs/>
          <w:color w:val="002060"/>
        </w:rPr>
        <w:t>, November 2021</w:t>
      </w:r>
      <w:r w:rsidRPr="00B51F37">
        <w:rPr>
          <w:rFonts w:ascii="Lato" w:hAnsi="Lato" w:cs="Arial"/>
          <w:i/>
          <w:iCs/>
          <w:color w:val="002060"/>
        </w:rPr>
        <w:t>)</w:t>
      </w:r>
    </w:p>
    <w:p w14:paraId="0392E054" w14:textId="34B4A8CB" w:rsidR="00B05B7E" w:rsidRPr="00B51F37" w:rsidRDefault="00B05B7E" w:rsidP="00B51F37">
      <w:pPr>
        <w:pStyle w:val="ListParagraph"/>
        <w:jc w:val="both"/>
        <w:rPr>
          <w:rFonts w:ascii="Lato" w:hAnsi="Lato" w:cs="Arial"/>
          <w:i/>
          <w:iCs/>
          <w:color w:val="002060"/>
        </w:rPr>
      </w:pPr>
    </w:p>
    <w:p w14:paraId="3709096A" w14:textId="10E205F1" w:rsidR="003D6BE5" w:rsidRPr="00B51F37" w:rsidRDefault="009E1D0F" w:rsidP="00B51F37">
      <w:pPr>
        <w:pStyle w:val="ListParagraph"/>
        <w:numPr>
          <w:ilvl w:val="0"/>
          <w:numId w:val="1"/>
        </w:numPr>
        <w:jc w:val="both"/>
        <w:rPr>
          <w:rFonts w:ascii="Lato" w:hAnsi="Lato" w:cs="Arial"/>
          <w:color w:val="002060"/>
        </w:rPr>
      </w:pPr>
      <w:r w:rsidRPr="00B51F37">
        <w:rPr>
          <w:rFonts w:ascii="Lato" w:hAnsi="Lato" w:cs="Arial"/>
          <w:color w:val="002060"/>
        </w:rPr>
        <w:t>Our October data showed that labour shortages and efforts to secure staff were widely linked to the latest increase in wages, while IR35 legislation was also cited as having pushed up pay –</w:t>
      </w:r>
      <w:r w:rsidR="00800841" w:rsidRPr="00B51F37">
        <w:rPr>
          <w:rFonts w:ascii="Lato" w:hAnsi="Lato" w:cs="Arial"/>
          <w:color w:val="002060"/>
        </w:rPr>
        <w:t xml:space="preserve"> </w:t>
      </w:r>
      <w:r w:rsidRPr="00B51F37">
        <w:rPr>
          <w:rFonts w:ascii="Lato" w:hAnsi="Lato" w:cs="Arial"/>
          <w:color w:val="002060"/>
        </w:rPr>
        <w:t>particularly</w:t>
      </w:r>
      <w:r w:rsidR="00800841" w:rsidRPr="00B51F37">
        <w:rPr>
          <w:rFonts w:ascii="Lato" w:hAnsi="Lato" w:cs="Arial"/>
          <w:color w:val="002060"/>
        </w:rPr>
        <w:t xml:space="preserve"> reflected in</w:t>
      </w:r>
      <w:r w:rsidRPr="00B51F37">
        <w:rPr>
          <w:rFonts w:ascii="Lato" w:hAnsi="Lato" w:cs="Arial"/>
          <w:color w:val="002060"/>
        </w:rPr>
        <w:t xml:space="preserve"> the temporary market.</w:t>
      </w:r>
    </w:p>
    <w:p w14:paraId="77B44736" w14:textId="77777777" w:rsidR="003D505B" w:rsidRPr="00B51F37" w:rsidRDefault="003D505B" w:rsidP="00B51F37">
      <w:pPr>
        <w:jc w:val="both"/>
        <w:rPr>
          <w:rFonts w:ascii="Lato" w:hAnsi="Lato" w:cs="Arial"/>
          <w:color w:val="002060"/>
        </w:rPr>
      </w:pPr>
    </w:p>
    <w:p w14:paraId="7F2CB376" w14:textId="0D7695B9" w:rsidR="000A166B" w:rsidRPr="00B51F37" w:rsidRDefault="009E1D0F" w:rsidP="00B51F37">
      <w:pPr>
        <w:pStyle w:val="ListParagraph"/>
        <w:numPr>
          <w:ilvl w:val="0"/>
          <w:numId w:val="1"/>
        </w:numPr>
        <w:jc w:val="both"/>
        <w:rPr>
          <w:rFonts w:ascii="Lato" w:hAnsi="Lato" w:cs="Arial"/>
          <w:color w:val="002060"/>
        </w:rPr>
      </w:pPr>
      <w:r w:rsidRPr="00B51F37">
        <w:rPr>
          <w:rFonts w:ascii="Lato" w:hAnsi="Lato" w:cs="Arial"/>
          <w:color w:val="002060"/>
        </w:rPr>
        <w:t xml:space="preserve">In September, the REC </w:t>
      </w:r>
      <w:hyperlink r:id="rId11" w:history="1">
        <w:r w:rsidR="00751F8C" w:rsidRPr="00677A41">
          <w:rPr>
            <w:rStyle w:val="Hyperlink"/>
            <w:rFonts w:ascii="Lato" w:hAnsi="Lato" w:cs="Arial"/>
          </w:rPr>
          <w:t>surveyed</w:t>
        </w:r>
      </w:hyperlink>
      <w:r w:rsidR="00751F8C">
        <w:rPr>
          <w:rFonts w:ascii="Lato" w:hAnsi="Lato" w:cs="Arial"/>
          <w:color w:val="0D133D"/>
        </w:rPr>
        <w:t xml:space="preserve"> </w:t>
      </w:r>
      <w:r w:rsidR="00751F8C" w:rsidRPr="00B51F37">
        <w:rPr>
          <w:rFonts w:ascii="Lato" w:hAnsi="Lato" w:cs="Arial"/>
          <w:color w:val="002060"/>
        </w:rPr>
        <w:t xml:space="preserve">its members to better understand the causes of the labour and skills shortages. Our data showed that just under 30% of respondents found new off-payroll working regulations were factors </w:t>
      </w:r>
      <w:r w:rsidR="003D505B" w:rsidRPr="00B51F37">
        <w:rPr>
          <w:rFonts w:ascii="Lato" w:hAnsi="Lato" w:cs="Arial"/>
          <w:color w:val="002060"/>
        </w:rPr>
        <w:t xml:space="preserve">affecting </w:t>
      </w:r>
      <w:r w:rsidR="0059325B" w:rsidRPr="00B51F37">
        <w:rPr>
          <w:rFonts w:ascii="Lato" w:hAnsi="Lato" w:cs="Arial"/>
          <w:color w:val="002060"/>
        </w:rPr>
        <w:t>their</w:t>
      </w:r>
      <w:r w:rsidR="003D505B" w:rsidRPr="00B51F37">
        <w:rPr>
          <w:rFonts w:ascii="Lato" w:hAnsi="Lato" w:cs="Arial"/>
          <w:color w:val="002060"/>
        </w:rPr>
        <w:t xml:space="preserve"> ability to source suitable candidates. </w:t>
      </w:r>
      <w:r w:rsidR="00920A9C" w:rsidRPr="00B51F37">
        <w:rPr>
          <w:rFonts w:ascii="Lato" w:hAnsi="Lato" w:cs="Arial"/>
          <w:color w:val="002060"/>
        </w:rPr>
        <w:t>When we look at the sector specific breakdown,</w:t>
      </w:r>
      <w:r w:rsidR="000C2C46" w:rsidRPr="00B51F37">
        <w:rPr>
          <w:rFonts w:ascii="Lato" w:hAnsi="Lato" w:cs="Arial"/>
          <w:color w:val="002060"/>
        </w:rPr>
        <w:t xml:space="preserve"> almost 40% of respondents in</w:t>
      </w:r>
      <w:r w:rsidR="00920A9C" w:rsidRPr="00B51F37">
        <w:rPr>
          <w:rFonts w:ascii="Lato" w:hAnsi="Lato" w:cs="Arial"/>
          <w:color w:val="002060"/>
        </w:rPr>
        <w:t xml:space="preserve"> constructio</w:t>
      </w:r>
      <w:r w:rsidR="00C93D3D" w:rsidRPr="00B51F37">
        <w:rPr>
          <w:rFonts w:ascii="Lato" w:hAnsi="Lato" w:cs="Arial"/>
          <w:color w:val="002060"/>
        </w:rPr>
        <w:t>n,</w:t>
      </w:r>
      <w:r w:rsidR="00920A9C" w:rsidRPr="00B51F37">
        <w:rPr>
          <w:rFonts w:ascii="Lato" w:hAnsi="Lato" w:cs="Arial"/>
          <w:color w:val="002060"/>
        </w:rPr>
        <w:t xml:space="preserve"> logistics and driving</w:t>
      </w:r>
      <w:r w:rsidR="000C2C46" w:rsidRPr="00B51F37">
        <w:rPr>
          <w:rFonts w:ascii="Lato" w:hAnsi="Lato" w:cs="Arial"/>
          <w:color w:val="002060"/>
        </w:rPr>
        <w:t xml:space="preserve"> cite IR35 regulations as a factor affecting their ability to find candidates.</w:t>
      </w:r>
    </w:p>
    <w:p w14:paraId="139FBD8C" w14:textId="77777777" w:rsidR="005A2D21" w:rsidRPr="00B51F37" w:rsidRDefault="005A2D21" w:rsidP="00B51F37">
      <w:pPr>
        <w:pStyle w:val="ListParagraph"/>
        <w:jc w:val="both"/>
        <w:rPr>
          <w:rFonts w:ascii="Lato" w:hAnsi="Lato" w:cs="Arial"/>
          <w:color w:val="002060"/>
        </w:rPr>
      </w:pPr>
    </w:p>
    <w:p w14:paraId="5755AEDE" w14:textId="569020FB" w:rsidR="005A2D21" w:rsidRPr="00B51F37" w:rsidRDefault="005A2D21" w:rsidP="00B51F37">
      <w:pPr>
        <w:pStyle w:val="ListParagraph"/>
        <w:numPr>
          <w:ilvl w:val="0"/>
          <w:numId w:val="1"/>
        </w:numPr>
        <w:jc w:val="both"/>
        <w:rPr>
          <w:rFonts w:ascii="Lato" w:hAnsi="Lato" w:cs="Arial"/>
          <w:color w:val="002060"/>
        </w:rPr>
      </w:pPr>
      <w:r w:rsidRPr="00B51F37">
        <w:rPr>
          <w:rFonts w:ascii="Lato" w:hAnsi="Lato" w:cs="Arial"/>
          <w:color w:val="002060"/>
        </w:rPr>
        <w:t xml:space="preserve">The administrative burden, mainly for the hirer </w:t>
      </w:r>
      <w:r w:rsidR="000C1649" w:rsidRPr="00B51F37">
        <w:rPr>
          <w:rFonts w:ascii="Lato" w:hAnsi="Lato" w:cs="Arial"/>
          <w:color w:val="002060"/>
        </w:rPr>
        <w:t>to comply</w:t>
      </w:r>
      <w:r w:rsidRPr="00B51F37">
        <w:rPr>
          <w:rFonts w:ascii="Lato" w:hAnsi="Lato" w:cs="Arial"/>
          <w:color w:val="002060"/>
        </w:rPr>
        <w:t xml:space="preserve"> with new rules</w:t>
      </w:r>
      <w:r w:rsidR="000C1649" w:rsidRPr="00B51F37">
        <w:rPr>
          <w:rFonts w:ascii="Lato" w:hAnsi="Lato" w:cs="Arial"/>
          <w:color w:val="002060"/>
        </w:rPr>
        <w:t>,</w:t>
      </w:r>
      <w:r w:rsidRPr="00B51F37">
        <w:rPr>
          <w:rFonts w:ascii="Lato" w:hAnsi="Lato" w:cs="Arial"/>
          <w:color w:val="002060"/>
        </w:rPr>
        <w:t xml:space="preserve"> makes it significantly more difficult and time-consuming </w:t>
      </w:r>
      <w:r w:rsidR="00D50533" w:rsidRPr="00B51F37">
        <w:rPr>
          <w:rFonts w:ascii="Lato" w:hAnsi="Lato" w:cs="Arial"/>
          <w:color w:val="002060"/>
        </w:rPr>
        <w:t>to commence</w:t>
      </w:r>
      <w:r w:rsidRPr="00B51F37">
        <w:rPr>
          <w:rFonts w:ascii="Lato" w:hAnsi="Lato" w:cs="Arial"/>
          <w:color w:val="002060"/>
        </w:rPr>
        <w:t xml:space="preserve"> an engagement, leading to commercial inefficiencies</w:t>
      </w:r>
      <w:r w:rsidR="00E54831" w:rsidRPr="00B51F37">
        <w:rPr>
          <w:rFonts w:ascii="Lato" w:hAnsi="Lato" w:cs="Arial"/>
          <w:color w:val="002060"/>
        </w:rPr>
        <w:t>;</w:t>
      </w:r>
      <w:r w:rsidRPr="00B51F37">
        <w:rPr>
          <w:rFonts w:ascii="Lato" w:hAnsi="Lato" w:cs="Arial"/>
          <w:color w:val="002060"/>
        </w:rPr>
        <w:t xml:space="preserve"> there is a material cost in terms of hours </w:t>
      </w:r>
      <w:r w:rsidR="00AA4C73" w:rsidRPr="00B51F37">
        <w:rPr>
          <w:rFonts w:ascii="Lato" w:hAnsi="Lato" w:cs="Arial"/>
          <w:color w:val="002060"/>
        </w:rPr>
        <w:t xml:space="preserve">spent </w:t>
      </w:r>
      <w:r w:rsidRPr="00B51F37">
        <w:rPr>
          <w:rFonts w:ascii="Lato" w:hAnsi="Lato" w:cs="Arial"/>
          <w:color w:val="002060"/>
        </w:rPr>
        <w:t xml:space="preserve">negotiating </w:t>
      </w:r>
      <w:r w:rsidRPr="00B51F37">
        <w:rPr>
          <w:rFonts w:ascii="Lato" w:hAnsi="Lato" w:cs="Arial"/>
          <w:color w:val="002060"/>
        </w:rPr>
        <w:lastRenderedPageBreak/>
        <w:t>contracts</w:t>
      </w:r>
      <w:r w:rsidR="0031546F" w:rsidRPr="00B51F37">
        <w:rPr>
          <w:rFonts w:ascii="Lato" w:hAnsi="Lato" w:cs="Arial"/>
          <w:color w:val="002060"/>
        </w:rPr>
        <w:t xml:space="preserve"> and </w:t>
      </w:r>
      <w:r w:rsidRPr="00B51F37">
        <w:rPr>
          <w:rFonts w:ascii="Lato" w:hAnsi="Lato" w:cs="Arial"/>
          <w:color w:val="002060"/>
        </w:rPr>
        <w:t>explaining the position to contractors,</w:t>
      </w:r>
      <w:r w:rsidR="0031546F" w:rsidRPr="00B51F37">
        <w:rPr>
          <w:rFonts w:ascii="Lato" w:hAnsi="Lato" w:cs="Arial"/>
          <w:color w:val="002060"/>
        </w:rPr>
        <w:t xml:space="preserve"> in addition to</w:t>
      </w:r>
      <w:r w:rsidRPr="00B51F37">
        <w:rPr>
          <w:rFonts w:ascii="Lato" w:hAnsi="Lato" w:cs="Arial"/>
          <w:color w:val="002060"/>
        </w:rPr>
        <w:t xml:space="preserve"> internal training, external technical advice</w:t>
      </w:r>
      <w:r w:rsidR="0031546F" w:rsidRPr="00B51F37">
        <w:rPr>
          <w:rFonts w:ascii="Lato" w:hAnsi="Lato" w:cs="Arial"/>
          <w:color w:val="002060"/>
        </w:rPr>
        <w:t>,</w:t>
      </w:r>
      <w:r w:rsidRPr="00B51F37">
        <w:rPr>
          <w:rFonts w:ascii="Lato" w:hAnsi="Lato" w:cs="Arial"/>
          <w:color w:val="002060"/>
        </w:rPr>
        <w:t xml:space="preserve"> and meeting procedural requirements.  </w:t>
      </w:r>
    </w:p>
    <w:p w14:paraId="44E8138A" w14:textId="77777777" w:rsidR="005A2D21" w:rsidRPr="00B51F37" w:rsidRDefault="005A2D21" w:rsidP="00B51F37">
      <w:pPr>
        <w:jc w:val="both"/>
        <w:rPr>
          <w:rFonts w:ascii="Lato" w:hAnsi="Lato" w:cs="Arial"/>
          <w:color w:val="002060"/>
        </w:rPr>
      </w:pPr>
    </w:p>
    <w:p w14:paraId="73C97BD0" w14:textId="3E2BA3A0" w:rsidR="005A2D21" w:rsidRPr="00B51F37" w:rsidRDefault="005A2D21" w:rsidP="00B51F37">
      <w:pPr>
        <w:pStyle w:val="ListParagraph"/>
        <w:numPr>
          <w:ilvl w:val="0"/>
          <w:numId w:val="1"/>
        </w:numPr>
        <w:jc w:val="both"/>
        <w:rPr>
          <w:rFonts w:ascii="Lato" w:hAnsi="Lato" w:cs="Arial"/>
          <w:color w:val="002060"/>
        </w:rPr>
      </w:pPr>
      <w:r w:rsidRPr="00B51F37">
        <w:rPr>
          <w:rFonts w:ascii="Lato" w:hAnsi="Lato" w:cs="Arial"/>
          <w:color w:val="002060"/>
        </w:rPr>
        <w:t>Any engagement potentially within scope also requires an in</w:t>
      </w:r>
      <w:r w:rsidR="00873D1A" w:rsidRPr="00B51F37">
        <w:rPr>
          <w:rFonts w:ascii="Lato" w:hAnsi="Lato" w:cs="Arial"/>
          <w:color w:val="002060"/>
        </w:rPr>
        <w:t>-</w:t>
      </w:r>
      <w:r w:rsidRPr="00B51F37">
        <w:rPr>
          <w:rFonts w:ascii="Lato" w:hAnsi="Lato" w:cs="Arial"/>
          <w:color w:val="002060"/>
        </w:rPr>
        <w:t>depth consideration of the myriad case law concerning employment status for tax purposes, which in most commercial scenarios is difficult to apply and a definitive conclusion</w:t>
      </w:r>
      <w:r w:rsidR="00537F7B" w:rsidRPr="00B51F37">
        <w:rPr>
          <w:rFonts w:ascii="Lato" w:hAnsi="Lato" w:cs="Arial"/>
          <w:color w:val="002060"/>
        </w:rPr>
        <w:t xml:space="preserve"> is</w:t>
      </w:r>
      <w:r w:rsidRPr="00B51F37">
        <w:rPr>
          <w:rFonts w:ascii="Lato" w:hAnsi="Lato" w:cs="Arial"/>
          <w:color w:val="002060"/>
        </w:rPr>
        <w:t xml:space="preserve"> difficult to reach. The CEST tool and associated guidance provide limited assistance in most real world scenarios, and the subjective nature of the questions in most contexts often leads to disagreement between contractors (who seek to rely on potentially inaccurate CEST results) and hirers who cannot in good conscience rely on the outcome of the CEST tool because, even when completed in accordance with HMRC guidance, the results often do not accurately reflect the case law or allow all relevant factors to be weighed up in the context of the factual scenario </w:t>
      </w:r>
      <w:r w:rsidR="00A22314" w:rsidRPr="00B51F37">
        <w:rPr>
          <w:rFonts w:ascii="Lato" w:hAnsi="Lato" w:cs="Arial"/>
          <w:color w:val="002060"/>
        </w:rPr>
        <w:t>(</w:t>
      </w:r>
      <w:r w:rsidRPr="00B51F37">
        <w:rPr>
          <w:rFonts w:ascii="Lato" w:hAnsi="Lato" w:cs="Arial"/>
          <w:color w:val="002060"/>
        </w:rPr>
        <w:t>as is required to properly consider the position from a technical perspective). This adds to the inefficiencies.</w:t>
      </w:r>
    </w:p>
    <w:p w14:paraId="763363DF" w14:textId="77777777" w:rsidR="003D505B" w:rsidRPr="00F955FE" w:rsidRDefault="003D505B" w:rsidP="00B51F37">
      <w:pPr>
        <w:pStyle w:val="ListParagraph"/>
        <w:jc w:val="both"/>
        <w:rPr>
          <w:rFonts w:ascii="Lato" w:hAnsi="Lato" w:cs="Arial"/>
          <w:color w:val="0D133D"/>
        </w:rPr>
      </w:pPr>
    </w:p>
    <w:p w14:paraId="397CE17C" w14:textId="2D2EC912" w:rsidR="008541B9" w:rsidRDefault="008541B9" w:rsidP="00B51F37">
      <w:pPr>
        <w:autoSpaceDE w:val="0"/>
        <w:autoSpaceDN w:val="0"/>
        <w:adjustRightInd w:val="0"/>
        <w:jc w:val="both"/>
        <w:rPr>
          <w:rFonts w:ascii="Lato" w:hAnsi="Lato" w:cs="Arial"/>
          <w:b/>
          <w:color w:val="0D133D"/>
        </w:rPr>
      </w:pPr>
      <w:r w:rsidRPr="008541B9">
        <w:rPr>
          <w:rFonts w:ascii="Lato" w:hAnsi="Lato" w:cs="Arial"/>
          <w:b/>
          <w:color w:val="0D133D"/>
        </w:rPr>
        <w:t>For those engagers (and their advisers) who use the CEST (Check Employment for Tax Status) tool to assess employment status, how effective do you consider it to be? Do you have confidence in its results? If not, what further improvements need to be made to it?</w:t>
      </w:r>
    </w:p>
    <w:p w14:paraId="76E48EFA" w14:textId="77777777" w:rsidR="000A166B" w:rsidRPr="008541B9" w:rsidRDefault="000A166B" w:rsidP="00B51F37">
      <w:pPr>
        <w:autoSpaceDE w:val="0"/>
        <w:autoSpaceDN w:val="0"/>
        <w:adjustRightInd w:val="0"/>
        <w:jc w:val="both"/>
        <w:rPr>
          <w:rFonts w:ascii="Lato" w:hAnsi="Lato" w:cs="Arial"/>
          <w:b/>
          <w:color w:val="0D133D"/>
        </w:rPr>
      </w:pPr>
    </w:p>
    <w:p w14:paraId="5AEE78DD" w14:textId="15F35D50" w:rsidR="004A2A63" w:rsidRPr="00B51F37" w:rsidRDefault="00EC13AC" w:rsidP="00B51F37">
      <w:pPr>
        <w:pStyle w:val="ListParagraph"/>
        <w:numPr>
          <w:ilvl w:val="0"/>
          <w:numId w:val="1"/>
        </w:numPr>
        <w:autoSpaceDE w:val="0"/>
        <w:autoSpaceDN w:val="0"/>
        <w:adjustRightInd w:val="0"/>
        <w:jc w:val="both"/>
        <w:rPr>
          <w:rFonts w:ascii="Lato" w:hAnsi="Lato" w:cs="Arial"/>
          <w:color w:val="002060"/>
        </w:rPr>
      </w:pPr>
      <w:r w:rsidRPr="00B51F37">
        <w:rPr>
          <w:rFonts w:ascii="Lato" w:hAnsi="Lato" w:cs="Arial"/>
          <w:color w:val="002060"/>
        </w:rPr>
        <w:t xml:space="preserve">Although some </w:t>
      </w:r>
      <w:r w:rsidR="000A166B" w:rsidRPr="00B51F37">
        <w:rPr>
          <w:rFonts w:ascii="Lato" w:hAnsi="Lato" w:cs="Arial"/>
          <w:color w:val="002060"/>
        </w:rPr>
        <w:t xml:space="preserve">minor improvements </w:t>
      </w:r>
      <w:r w:rsidRPr="00B51F37">
        <w:rPr>
          <w:rFonts w:ascii="Lato" w:hAnsi="Lato" w:cs="Arial"/>
          <w:color w:val="002060"/>
        </w:rPr>
        <w:t xml:space="preserve">have been </w:t>
      </w:r>
      <w:r w:rsidR="000A166B" w:rsidRPr="00B51F37">
        <w:rPr>
          <w:rFonts w:ascii="Lato" w:hAnsi="Lato" w:cs="Arial"/>
          <w:color w:val="002060"/>
        </w:rPr>
        <w:t xml:space="preserve">made to HMRC’s CEST tool, there is broad consensus that </w:t>
      </w:r>
      <w:r w:rsidRPr="00B51F37">
        <w:rPr>
          <w:rFonts w:ascii="Lato" w:hAnsi="Lato" w:cs="Arial"/>
          <w:color w:val="002060"/>
        </w:rPr>
        <w:t>it is</w:t>
      </w:r>
      <w:r w:rsidR="000A166B" w:rsidRPr="00B51F37">
        <w:rPr>
          <w:rFonts w:ascii="Lato" w:hAnsi="Lato" w:cs="Arial"/>
          <w:color w:val="002060"/>
        </w:rPr>
        <w:t xml:space="preserve"> not fit for purpose. HMRC’s view that mutuality of obligation should not form part of the questions in the CEST tool on the basis that the parties in all assignments have agreed to the contract, does not reflect the reality of the contracting environment. </w:t>
      </w:r>
      <w:r w:rsidR="004A2A63" w:rsidRPr="00B51F37">
        <w:rPr>
          <w:rFonts w:ascii="Lato" w:hAnsi="Lato" w:cs="Arial"/>
          <w:color w:val="002060"/>
        </w:rPr>
        <w:t xml:space="preserve">This has been reflected in the recent Professional Game Match Officials Ltd (PGMOL) case, with both the First-tier Tribunal (FTT) and Upper Tribunal (UTT) finding that the referees were not employees of PGMOL. HMRC’s position was that the question of mutuality of obligation only goes to whether a contract exists at all – an assumption which has been built into the CEST tool. </w:t>
      </w:r>
    </w:p>
    <w:p w14:paraId="46AB9AD5" w14:textId="77777777" w:rsidR="002D6A78" w:rsidRPr="00B51F37" w:rsidRDefault="002D6A78" w:rsidP="00B51F37">
      <w:pPr>
        <w:pStyle w:val="ListParagraph"/>
        <w:autoSpaceDE w:val="0"/>
        <w:autoSpaceDN w:val="0"/>
        <w:adjustRightInd w:val="0"/>
        <w:jc w:val="both"/>
        <w:rPr>
          <w:rFonts w:ascii="Lato" w:hAnsi="Lato" w:cs="Arial"/>
          <w:color w:val="002060"/>
        </w:rPr>
      </w:pPr>
    </w:p>
    <w:p w14:paraId="6BBE0C4C" w14:textId="0B6E1DFC" w:rsidR="004A2A63" w:rsidRPr="00B51F37" w:rsidRDefault="00A2529E" w:rsidP="00B51F37">
      <w:pPr>
        <w:pStyle w:val="ListParagraph"/>
        <w:numPr>
          <w:ilvl w:val="0"/>
          <w:numId w:val="1"/>
        </w:numPr>
        <w:autoSpaceDE w:val="0"/>
        <w:autoSpaceDN w:val="0"/>
        <w:adjustRightInd w:val="0"/>
        <w:jc w:val="both"/>
        <w:rPr>
          <w:rFonts w:ascii="Lato" w:hAnsi="Lato" w:cs="Arial"/>
          <w:color w:val="002060"/>
        </w:rPr>
      </w:pPr>
      <w:r w:rsidRPr="00B51F37">
        <w:rPr>
          <w:rFonts w:ascii="Lato" w:hAnsi="Lato" w:cs="Arial"/>
          <w:color w:val="002060"/>
        </w:rPr>
        <w:t>In addition, t</w:t>
      </w:r>
      <w:r w:rsidR="002D6A78" w:rsidRPr="00B51F37">
        <w:rPr>
          <w:rFonts w:ascii="Lato" w:hAnsi="Lato" w:cs="Arial"/>
          <w:color w:val="002060"/>
        </w:rPr>
        <w:t>he questions are too imprecise to be useful in most commercial scenarios, and the examples in the CEST guidance (e.g. painting and decorating or market research) are generally irrelevant in sectors where consultancy arrangements are most common for most businesses, for example</w:t>
      </w:r>
      <w:r w:rsidR="006C1007" w:rsidRPr="00B51F37">
        <w:rPr>
          <w:rFonts w:ascii="Lato" w:hAnsi="Lato" w:cs="Arial"/>
          <w:color w:val="002060"/>
        </w:rPr>
        <w:t>,</w:t>
      </w:r>
      <w:r w:rsidR="002D6A78" w:rsidRPr="00B51F37">
        <w:rPr>
          <w:rFonts w:ascii="Lato" w:hAnsi="Lato" w:cs="Arial"/>
          <w:color w:val="002060"/>
        </w:rPr>
        <w:t xml:space="preserve"> where contractors are required to deliver professional services, IT solutions or media advice.</w:t>
      </w:r>
    </w:p>
    <w:p w14:paraId="5FF60216" w14:textId="77777777" w:rsidR="00A43364" w:rsidRPr="00B51F37" w:rsidRDefault="00A43364" w:rsidP="00B51F37">
      <w:pPr>
        <w:pStyle w:val="ListParagraph"/>
        <w:jc w:val="both"/>
        <w:rPr>
          <w:rFonts w:ascii="Lato" w:hAnsi="Lato" w:cs="Arial"/>
          <w:color w:val="002060"/>
        </w:rPr>
      </w:pPr>
    </w:p>
    <w:p w14:paraId="23B07ABD" w14:textId="4FAAB998" w:rsidR="00A43364" w:rsidRPr="00B51F37" w:rsidRDefault="00A43364" w:rsidP="00B51F37">
      <w:pPr>
        <w:pStyle w:val="ListParagraph"/>
        <w:numPr>
          <w:ilvl w:val="0"/>
          <w:numId w:val="1"/>
        </w:numPr>
        <w:autoSpaceDE w:val="0"/>
        <w:autoSpaceDN w:val="0"/>
        <w:adjustRightInd w:val="0"/>
        <w:jc w:val="both"/>
        <w:rPr>
          <w:rFonts w:ascii="Lato" w:hAnsi="Lato" w:cs="Arial"/>
          <w:color w:val="002060"/>
        </w:rPr>
      </w:pPr>
      <w:r w:rsidRPr="00B51F37">
        <w:rPr>
          <w:rFonts w:ascii="Lato" w:hAnsi="Lato" w:cs="Arial"/>
          <w:color w:val="002060"/>
        </w:rPr>
        <w:t xml:space="preserve">The CEST tool also appears inaccurate. Oftentimes changing the response to a single question can change a determination from "inside IR35" to "outside IR35". The case law on employment status for tax purposes is clear that one factor is unlikely to be determinative and that all relevant factors should be </w:t>
      </w:r>
      <w:r w:rsidR="00D36996" w:rsidRPr="00B51F37">
        <w:rPr>
          <w:rFonts w:ascii="Lato" w:hAnsi="Lato" w:cs="Arial"/>
          <w:color w:val="002060"/>
        </w:rPr>
        <w:t>considered,</w:t>
      </w:r>
      <w:r w:rsidRPr="00B51F37">
        <w:rPr>
          <w:rFonts w:ascii="Lato" w:hAnsi="Lato" w:cs="Arial"/>
          <w:color w:val="002060"/>
        </w:rPr>
        <w:t xml:space="preserve"> and the weight/relevance of each factor considered in the round and in the context of the contract/engagement concerned. </w:t>
      </w:r>
      <w:r w:rsidR="000F601E" w:rsidRPr="00B51F37">
        <w:rPr>
          <w:rFonts w:ascii="Lato" w:hAnsi="Lato" w:cs="Arial"/>
          <w:color w:val="002060"/>
        </w:rPr>
        <w:t xml:space="preserve">As a </w:t>
      </w:r>
      <w:r w:rsidRPr="00B51F37">
        <w:rPr>
          <w:rFonts w:ascii="Lato" w:hAnsi="Lato" w:cs="Arial"/>
          <w:color w:val="002060"/>
        </w:rPr>
        <w:t xml:space="preserve">consequence, the CEST tool is not sophisticated enough for hirers to be able to rely on it in many cases to meet their obligation under the rules (at section 61NA(2)) to use reasonable care when reaching a conclusion. The sheer number of "undetermined" outcomes also undermine the usefulness of the tool. </w:t>
      </w:r>
    </w:p>
    <w:p w14:paraId="670C105B" w14:textId="77777777" w:rsidR="00A43364" w:rsidRPr="00B51F37" w:rsidRDefault="00A43364" w:rsidP="00B51F37">
      <w:pPr>
        <w:autoSpaceDE w:val="0"/>
        <w:autoSpaceDN w:val="0"/>
        <w:adjustRightInd w:val="0"/>
        <w:jc w:val="both"/>
        <w:rPr>
          <w:rFonts w:ascii="Lato" w:hAnsi="Lato" w:cs="Arial"/>
          <w:color w:val="002060"/>
        </w:rPr>
      </w:pPr>
    </w:p>
    <w:p w14:paraId="57BA8AA7" w14:textId="7A9C2868" w:rsidR="003731EB" w:rsidRPr="00B51F37" w:rsidRDefault="00A43364" w:rsidP="00B51F37">
      <w:pPr>
        <w:pStyle w:val="ListParagraph"/>
        <w:numPr>
          <w:ilvl w:val="0"/>
          <w:numId w:val="1"/>
        </w:numPr>
        <w:jc w:val="both"/>
        <w:rPr>
          <w:rFonts w:ascii="Lato" w:hAnsi="Lato"/>
          <w:color w:val="002060"/>
          <w:szCs w:val="22"/>
        </w:rPr>
      </w:pPr>
      <w:r w:rsidRPr="00B51F37">
        <w:rPr>
          <w:rFonts w:ascii="Lato" w:hAnsi="Lato" w:cs="Arial"/>
          <w:color w:val="002060"/>
          <w:szCs w:val="22"/>
        </w:rPr>
        <w:t>The potential inaccuracy of CEST, combined with the subjective nature of the questions in most contexts, results in disagreements between hirers and contractors who must then resort to debating the nuances of the case law tests.</w:t>
      </w:r>
      <w:r w:rsidR="003731EB" w:rsidRPr="00B51F37">
        <w:rPr>
          <w:rFonts w:ascii="Lato" w:hAnsi="Lato" w:cs="Calibri"/>
          <w:bCs/>
          <w:color w:val="002060"/>
          <w:szCs w:val="22"/>
        </w:rPr>
        <w:t xml:space="preserve"> The Department for Work and Pensions owing HM Revenue &amp; Customs nearly £87m for “historic errors” in assessing tax liability for DWP off-payroll workers over the period 2017-21 is a clear example of the flaws with the CEST tool which should be reviewed. This outcome further reinforces </w:t>
      </w:r>
      <w:r w:rsidR="003731EB" w:rsidRPr="00B51F37">
        <w:rPr>
          <w:rFonts w:ascii="Lato" w:hAnsi="Lato" w:cs="Calibri"/>
          <w:bCs/>
          <w:color w:val="002060"/>
          <w:szCs w:val="22"/>
        </w:rPr>
        <w:lastRenderedPageBreak/>
        <w:t>the difficulties that both public and private sector organisations have had with meeting their obligations. Furthermore</w:t>
      </w:r>
      <w:r w:rsidR="00CA2043" w:rsidRPr="00B51F37">
        <w:rPr>
          <w:rFonts w:ascii="Lato" w:hAnsi="Lato" w:cs="Calibri"/>
          <w:bCs/>
          <w:color w:val="002060"/>
          <w:szCs w:val="22"/>
        </w:rPr>
        <w:t>,</w:t>
      </w:r>
      <w:r w:rsidR="003731EB" w:rsidRPr="00B51F37">
        <w:rPr>
          <w:rFonts w:ascii="Lato" w:hAnsi="Lato" w:cs="Calibri"/>
          <w:bCs/>
          <w:color w:val="002060"/>
          <w:szCs w:val="22"/>
        </w:rPr>
        <w:t xml:space="preserve"> agencies who are fee payers are in an unfair predicament of being liable for a status determination that they did not make and where there is an incorrect determination of an IR35 status, that would also mean that additional costs have been wrongly applied to their charge rate - employer’s NICs at 13.8%, VAT which may or may not be recoverable</w:t>
      </w:r>
      <w:r w:rsidR="00650477" w:rsidRPr="00B51F37">
        <w:rPr>
          <w:rFonts w:ascii="Lato" w:hAnsi="Lato" w:cs="Calibri"/>
          <w:bCs/>
          <w:color w:val="002060"/>
          <w:szCs w:val="22"/>
        </w:rPr>
        <w:t>,</w:t>
      </w:r>
      <w:r w:rsidR="003731EB" w:rsidRPr="00B51F37">
        <w:rPr>
          <w:rFonts w:ascii="Lato" w:hAnsi="Lato" w:cs="Calibri"/>
          <w:bCs/>
          <w:color w:val="002060"/>
          <w:szCs w:val="22"/>
        </w:rPr>
        <w:t xml:space="preserve"> or the agency may find that its payroll wrongly reaches the £3 million threshold at which the apprenticeship levy applies. Recovering overpayments from HMRC remains challenging because the legislation </w:t>
      </w:r>
      <w:r w:rsidR="003731EB" w:rsidRPr="00B51F37">
        <w:rPr>
          <w:rFonts w:ascii="Lato" w:hAnsi="Lato"/>
          <w:color w:val="002060"/>
          <w:szCs w:val="22"/>
        </w:rPr>
        <w:t xml:space="preserve">does not allow for an offset of tax where there has </w:t>
      </w:r>
      <w:r w:rsidR="002E1D0E" w:rsidRPr="00B51F37">
        <w:rPr>
          <w:rFonts w:ascii="Lato" w:hAnsi="Lato"/>
          <w:color w:val="002060"/>
          <w:szCs w:val="22"/>
        </w:rPr>
        <w:t>been an</w:t>
      </w:r>
      <w:r w:rsidR="003731EB" w:rsidRPr="00B51F37">
        <w:rPr>
          <w:rFonts w:ascii="Lato" w:hAnsi="Lato"/>
          <w:color w:val="002060"/>
          <w:szCs w:val="22"/>
        </w:rPr>
        <w:t xml:space="preserve"> overpayment.</w:t>
      </w:r>
      <w:r w:rsidR="002E1D0E" w:rsidRPr="00B51F37">
        <w:rPr>
          <w:rFonts w:ascii="Lato" w:hAnsi="Lato"/>
          <w:color w:val="002060"/>
          <w:szCs w:val="22"/>
        </w:rPr>
        <w:t xml:space="preserve"> A</w:t>
      </w:r>
      <w:r w:rsidR="003731EB" w:rsidRPr="00B51F37">
        <w:rPr>
          <w:rFonts w:ascii="Lato" w:hAnsi="Lato"/>
          <w:color w:val="002060"/>
          <w:szCs w:val="22"/>
        </w:rPr>
        <w:t>gencies have little or no influence on the tax status decision or employment status of the off-payroll worker but carry a disproportionate compliance burden and liability</w:t>
      </w:r>
      <w:r w:rsidR="002E1D0E" w:rsidRPr="00B51F37">
        <w:rPr>
          <w:rFonts w:ascii="Lato" w:hAnsi="Lato"/>
          <w:color w:val="002060"/>
          <w:szCs w:val="22"/>
        </w:rPr>
        <w:t>.</w:t>
      </w:r>
      <w:r w:rsidR="003731EB" w:rsidRPr="00B51F37">
        <w:rPr>
          <w:rFonts w:ascii="Lato" w:hAnsi="Lato"/>
          <w:color w:val="002060"/>
          <w:szCs w:val="22"/>
        </w:rPr>
        <w:t xml:space="preserve"> </w:t>
      </w:r>
    </w:p>
    <w:p w14:paraId="31224169" w14:textId="77777777" w:rsidR="008541B9" w:rsidRDefault="008541B9" w:rsidP="00B51F37">
      <w:pPr>
        <w:autoSpaceDE w:val="0"/>
        <w:autoSpaceDN w:val="0"/>
        <w:adjustRightInd w:val="0"/>
        <w:jc w:val="both"/>
        <w:rPr>
          <w:rFonts w:ascii="Lato" w:hAnsi="Lato" w:cs="Arial"/>
          <w:b/>
          <w:color w:val="0D133D"/>
        </w:rPr>
      </w:pPr>
    </w:p>
    <w:p w14:paraId="06E31244" w14:textId="4D32CE54" w:rsidR="008541B9" w:rsidRPr="008541B9" w:rsidRDefault="008541B9" w:rsidP="00B51F37">
      <w:pPr>
        <w:autoSpaceDE w:val="0"/>
        <w:autoSpaceDN w:val="0"/>
        <w:adjustRightInd w:val="0"/>
        <w:jc w:val="both"/>
        <w:rPr>
          <w:rFonts w:ascii="Lato" w:hAnsi="Lato" w:cs="Arial"/>
          <w:b/>
          <w:color w:val="0D133D"/>
        </w:rPr>
      </w:pPr>
      <w:r w:rsidRPr="008541B9">
        <w:rPr>
          <w:rFonts w:ascii="Lato" w:hAnsi="Lato" w:cs="Arial"/>
          <w:b/>
          <w:color w:val="0D133D"/>
        </w:rPr>
        <w:t>What changes have engagers had to make to apply the off-payroll rules to contractors, in terms of systems, personnel and training? By reference to your own experience, to what extent (if any) do you consider that compliance costs have increased because of the changes?</w:t>
      </w:r>
    </w:p>
    <w:p w14:paraId="134B5CC6" w14:textId="6D125D34" w:rsidR="008541B9" w:rsidRDefault="008541B9" w:rsidP="00B51F37">
      <w:pPr>
        <w:autoSpaceDE w:val="0"/>
        <w:autoSpaceDN w:val="0"/>
        <w:adjustRightInd w:val="0"/>
        <w:jc w:val="both"/>
        <w:rPr>
          <w:rFonts w:ascii="Lato" w:hAnsi="Lato" w:cs="Arial"/>
          <w:b/>
          <w:color w:val="0D133D"/>
        </w:rPr>
      </w:pPr>
    </w:p>
    <w:p w14:paraId="69DEB047" w14:textId="47C0EB4D" w:rsidR="00052ADC" w:rsidRPr="00B51F37" w:rsidRDefault="004A2A63" w:rsidP="00B51F37">
      <w:pPr>
        <w:pStyle w:val="ListParagraph"/>
        <w:numPr>
          <w:ilvl w:val="0"/>
          <w:numId w:val="1"/>
        </w:numPr>
        <w:autoSpaceDE w:val="0"/>
        <w:autoSpaceDN w:val="0"/>
        <w:adjustRightInd w:val="0"/>
        <w:jc w:val="both"/>
        <w:rPr>
          <w:rFonts w:ascii="Lato" w:hAnsi="Lato" w:cs="Arial"/>
          <w:color w:val="002060"/>
        </w:rPr>
      </w:pPr>
      <w:r w:rsidRPr="00B51F37">
        <w:rPr>
          <w:rFonts w:ascii="Lato" w:hAnsi="Lato" w:cs="Arial"/>
          <w:color w:val="002060"/>
        </w:rPr>
        <w:t xml:space="preserve">Off-payroll working legislation is extremely complex. Many businesses, including our members and their clients find off-payroll working legislation the most difficult tax legislation to understand. </w:t>
      </w:r>
    </w:p>
    <w:p w14:paraId="4F0FCEBA" w14:textId="2C7A82AC" w:rsidR="00052ADC" w:rsidRPr="00B51F37" w:rsidRDefault="00052ADC" w:rsidP="00B51F37">
      <w:pPr>
        <w:pStyle w:val="ListParagraph"/>
        <w:autoSpaceDE w:val="0"/>
        <w:autoSpaceDN w:val="0"/>
        <w:adjustRightInd w:val="0"/>
        <w:jc w:val="both"/>
        <w:rPr>
          <w:rFonts w:ascii="Lato" w:hAnsi="Lato" w:cs="Arial"/>
          <w:color w:val="002060"/>
        </w:rPr>
      </w:pPr>
    </w:p>
    <w:p w14:paraId="72F3D6CD" w14:textId="259CF307" w:rsidR="00052ADC" w:rsidRPr="00B51F37" w:rsidRDefault="00052ADC" w:rsidP="00B51F37">
      <w:pPr>
        <w:pStyle w:val="ListParagraph"/>
        <w:numPr>
          <w:ilvl w:val="0"/>
          <w:numId w:val="1"/>
        </w:numPr>
        <w:autoSpaceDE w:val="0"/>
        <w:autoSpaceDN w:val="0"/>
        <w:adjustRightInd w:val="0"/>
        <w:jc w:val="both"/>
        <w:rPr>
          <w:rFonts w:ascii="Lato" w:hAnsi="Lato" w:cs="Arial"/>
          <w:color w:val="002060"/>
        </w:rPr>
      </w:pPr>
      <w:r w:rsidRPr="00B51F37">
        <w:rPr>
          <w:rFonts w:ascii="Lato" w:hAnsi="Lato" w:cs="Arial"/>
          <w:color w:val="002060"/>
        </w:rPr>
        <w:t xml:space="preserve">Costs have increased in a range of ways, including: </w:t>
      </w:r>
    </w:p>
    <w:p w14:paraId="605462FD" w14:textId="775A5C94" w:rsidR="002220B4" w:rsidRPr="00B51F37" w:rsidRDefault="002220B4" w:rsidP="00B51F37">
      <w:pPr>
        <w:pStyle w:val="ListParagraph"/>
        <w:numPr>
          <w:ilvl w:val="0"/>
          <w:numId w:val="2"/>
        </w:numPr>
        <w:autoSpaceDE w:val="0"/>
        <w:autoSpaceDN w:val="0"/>
        <w:adjustRightInd w:val="0"/>
        <w:jc w:val="both"/>
        <w:rPr>
          <w:rFonts w:ascii="Lato" w:hAnsi="Lato" w:cs="Arial"/>
          <w:color w:val="002060"/>
        </w:rPr>
      </w:pPr>
      <w:r w:rsidRPr="00B51F37">
        <w:rPr>
          <w:rFonts w:ascii="Lato" w:hAnsi="Lato" w:cs="Arial"/>
          <w:color w:val="002060"/>
        </w:rPr>
        <w:t>Training</w:t>
      </w:r>
      <w:r w:rsidR="008D5DCB" w:rsidRPr="00B51F37">
        <w:rPr>
          <w:rFonts w:ascii="Lato" w:hAnsi="Lato" w:cs="Arial"/>
          <w:color w:val="002060"/>
        </w:rPr>
        <w:t>.</w:t>
      </w:r>
    </w:p>
    <w:p w14:paraId="206677C0" w14:textId="609E8F67" w:rsidR="002220B4" w:rsidRPr="00B51F37" w:rsidRDefault="002220B4" w:rsidP="00B51F37">
      <w:pPr>
        <w:pStyle w:val="ListParagraph"/>
        <w:numPr>
          <w:ilvl w:val="0"/>
          <w:numId w:val="2"/>
        </w:numPr>
        <w:autoSpaceDE w:val="0"/>
        <w:autoSpaceDN w:val="0"/>
        <w:adjustRightInd w:val="0"/>
        <w:jc w:val="both"/>
        <w:rPr>
          <w:rFonts w:ascii="Lato" w:hAnsi="Lato" w:cs="Arial"/>
          <w:color w:val="002060"/>
        </w:rPr>
      </w:pPr>
      <w:r w:rsidRPr="00B51F37">
        <w:rPr>
          <w:rFonts w:ascii="Lato" w:hAnsi="Lato" w:cs="Arial"/>
          <w:color w:val="002060"/>
        </w:rPr>
        <w:t>Production of precedent documents for due diligence of contractors and status determinations</w:t>
      </w:r>
      <w:r w:rsidR="008D5DCB" w:rsidRPr="00B51F37">
        <w:rPr>
          <w:rFonts w:ascii="Lato" w:hAnsi="Lato" w:cs="Arial"/>
          <w:color w:val="002060"/>
        </w:rPr>
        <w:t>.</w:t>
      </w:r>
    </w:p>
    <w:p w14:paraId="160CD38C" w14:textId="454CF5C0" w:rsidR="002220B4" w:rsidRPr="00B51F37" w:rsidRDefault="002220B4" w:rsidP="00B51F37">
      <w:pPr>
        <w:pStyle w:val="ListParagraph"/>
        <w:numPr>
          <w:ilvl w:val="0"/>
          <w:numId w:val="2"/>
        </w:numPr>
        <w:autoSpaceDE w:val="0"/>
        <w:autoSpaceDN w:val="0"/>
        <w:adjustRightInd w:val="0"/>
        <w:jc w:val="both"/>
        <w:rPr>
          <w:rFonts w:ascii="Lato" w:hAnsi="Lato" w:cs="Arial"/>
          <w:color w:val="002060"/>
        </w:rPr>
      </w:pPr>
      <w:r w:rsidRPr="00B51F37">
        <w:rPr>
          <w:rFonts w:ascii="Lato" w:hAnsi="Lato" w:cs="Arial"/>
          <w:color w:val="002060"/>
        </w:rPr>
        <w:t>Upgrading payroll software to allow for payments under the off-payroll rules</w:t>
      </w:r>
      <w:r w:rsidR="008D5DCB" w:rsidRPr="00B51F37">
        <w:rPr>
          <w:rFonts w:ascii="Lato" w:hAnsi="Lato" w:cs="Arial"/>
          <w:color w:val="002060"/>
        </w:rPr>
        <w:t>.</w:t>
      </w:r>
    </w:p>
    <w:p w14:paraId="051C70B0" w14:textId="3DF04327" w:rsidR="002220B4" w:rsidRPr="00B51F37" w:rsidRDefault="002220B4" w:rsidP="00B51F37">
      <w:pPr>
        <w:pStyle w:val="ListParagraph"/>
        <w:numPr>
          <w:ilvl w:val="0"/>
          <w:numId w:val="2"/>
        </w:numPr>
        <w:autoSpaceDE w:val="0"/>
        <w:autoSpaceDN w:val="0"/>
        <w:adjustRightInd w:val="0"/>
        <w:jc w:val="both"/>
        <w:rPr>
          <w:rFonts w:ascii="Lato" w:hAnsi="Lato" w:cs="Arial"/>
          <w:color w:val="002060"/>
        </w:rPr>
      </w:pPr>
      <w:r w:rsidRPr="00B51F37">
        <w:rPr>
          <w:rFonts w:ascii="Lato" w:hAnsi="Lato" w:cs="Arial"/>
          <w:color w:val="002060"/>
        </w:rPr>
        <w:t>Amending invoice payment protocols to distinguish between "inside" and "outside" IR35 payments</w:t>
      </w:r>
      <w:r w:rsidR="008D5DCB" w:rsidRPr="00B51F37">
        <w:rPr>
          <w:rFonts w:ascii="Lato" w:hAnsi="Lato" w:cs="Arial"/>
          <w:color w:val="002060"/>
        </w:rPr>
        <w:t>.</w:t>
      </w:r>
    </w:p>
    <w:p w14:paraId="2F1BC6B6" w14:textId="4AF66FD9" w:rsidR="002220B4" w:rsidRPr="00B51F37" w:rsidRDefault="002220B4" w:rsidP="00B51F37">
      <w:pPr>
        <w:pStyle w:val="ListParagraph"/>
        <w:numPr>
          <w:ilvl w:val="0"/>
          <w:numId w:val="2"/>
        </w:numPr>
        <w:autoSpaceDE w:val="0"/>
        <w:autoSpaceDN w:val="0"/>
        <w:adjustRightInd w:val="0"/>
        <w:jc w:val="both"/>
        <w:rPr>
          <w:rFonts w:ascii="Lato" w:hAnsi="Lato" w:cs="Arial"/>
          <w:color w:val="002060"/>
        </w:rPr>
      </w:pPr>
      <w:r w:rsidRPr="00B51F37">
        <w:rPr>
          <w:rFonts w:ascii="Lato" w:hAnsi="Lato" w:cs="Arial"/>
          <w:color w:val="002060"/>
        </w:rPr>
        <w:t>Amending payment protocols to ensure the VAT element of invoices (and net of payroll tax amount) are paid at the same time as amounts are accounted for through PAYE.</w:t>
      </w:r>
    </w:p>
    <w:p w14:paraId="12E02DD5" w14:textId="6651A7C7" w:rsidR="002220B4" w:rsidRPr="00B51F37" w:rsidRDefault="002220B4" w:rsidP="00B51F37">
      <w:pPr>
        <w:pStyle w:val="ListParagraph"/>
        <w:numPr>
          <w:ilvl w:val="0"/>
          <w:numId w:val="2"/>
        </w:numPr>
        <w:autoSpaceDE w:val="0"/>
        <w:autoSpaceDN w:val="0"/>
        <w:adjustRightInd w:val="0"/>
        <w:jc w:val="both"/>
        <w:rPr>
          <w:rFonts w:ascii="Lato" w:hAnsi="Lato" w:cs="Arial"/>
          <w:color w:val="002060"/>
        </w:rPr>
      </w:pPr>
      <w:r w:rsidRPr="00B51F37">
        <w:rPr>
          <w:rFonts w:ascii="Lato" w:hAnsi="Lato" w:cs="Arial"/>
          <w:color w:val="002060"/>
        </w:rPr>
        <w:t>Considering employment status requires expertise; tax compliance and HR resource</w:t>
      </w:r>
      <w:r w:rsidR="004C394F" w:rsidRPr="00B51F37">
        <w:rPr>
          <w:rFonts w:ascii="Lato" w:hAnsi="Lato" w:cs="Arial"/>
          <w:color w:val="002060"/>
        </w:rPr>
        <w:t>s</w:t>
      </w:r>
      <w:r w:rsidRPr="00B51F37">
        <w:rPr>
          <w:rFonts w:ascii="Lato" w:hAnsi="Lato" w:cs="Arial"/>
          <w:color w:val="002060"/>
        </w:rPr>
        <w:t xml:space="preserve"> within the firm stretched more thinly due to the technical case law nature of the tests.</w:t>
      </w:r>
    </w:p>
    <w:p w14:paraId="748E8481" w14:textId="77777777" w:rsidR="004A2A63" w:rsidRDefault="004A2A63" w:rsidP="00B51F37">
      <w:pPr>
        <w:autoSpaceDE w:val="0"/>
        <w:autoSpaceDN w:val="0"/>
        <w:adjustRightInd w:val="0"/>
        <w:jc w:val="both"/>
        <w:rPr>
          <w:rFonts w:ascii="Lato" w:hAnsi="Lato" w:cs="Arial"/>
          <w:b/>
          <w:color w:val="0D133D"/>
        </w:rPr>
      </w:pPr>
    </w:p>
    <w:p w14:paraId="5040615E" w14:textId="695A1503" w:rsidR="008541B9" w:rsidRPr="00BF2179" w:rsidRDefault="008541B9" w:rsidP="00B51F37">
      <w:pPr>
        <w:autoSpaceDE w:val="0"/>
        <w:autoSpaceDN w:val="0"/>
        <w:adjustRightInd w:val="0"/>
        <w:jc w:val="both"/>
        <w:rPr>
          <w:rFonts w:ascii="Lato" w:hAnsi="Lato" w:cs="Arial"/>
          <w:b/>
          <w:color w:val="0D133D"/>
        </w:rPr>
      </w:pPr>
      <w:r w:rsidRPr="00BF2179">
        <w:rPr>
          <w:rFonts w:ascii="Lato" w:hAnsi="Lato" w:cs="Arial"/>
          <w:b/>
          <w:color w:val="0D133D"/>
        </w:rPr>
        <w:t>How well has HMRC supported engagers, contractors, and their advisers with the implementation of the new rules and is any further or different type of assistance needed?</w:t>
      </w:r>
    </w:p>
    <w:p w14:paraId="3FE50468" w14:textId="101FCE15" w:rsidR="00671B30" w:rsidRPr="004C394F" w:rsidRDefault="00671B30" w:rsidP="00B51F37">
      <w:pPr>
        <w:autoSpaceDE w:val="0"/>
        <w:autoSpaceDN w:val="0"/>
        <w:adjustRightInd w:val="0"/>
        <w:jc w:val="both"/>
        <w:rPr>
          <w:rFonts w:ascii="Lato" w:hAnsi="Lato" w:cs="Arial"/>
          <w:b/>
          <w:color w:val="0D133D"/>
        </w:rPr>
      </w:pPr>
    </w:p>
    <w:p w14:paraId="2F31B2B4" w14:textId="186FCEBE" w:rsidR="00671B30" w:rsidRPr="00B51F37" w:rsidRDefault="003A5C5F" w:rsidP="00B51F37">
      <w:pPr>
        <w:pStyle w:val="ListParagraph"/>
        <w:numPr>
          <w:ilvl w:val="0"/>
          <w:numId w:val="1"/>
        </w:numPr>
        <w:autoSpaceDE w:val="0"/>
        <w:autoSpaceDN w:val="0"/>
        <w:adjustRightInd w:val="0"/>
        <w:jc w:val="both"/>
        <w:rPr>
          <w:rFonts w:ascii="Lato" w:hAnsi="Lato" w:cs="Calibri"/>
          <w:bCs/>
          <w:color w:val="002060"/>
          <w:szCs w:val="22"/>
        </w:rPr>
      </w:pPr>
      <w:r w:rsidRPr="00B51F37">
        <w:rPr>
          <w:rFonts w:ascii="Lato" w:hAnsi="Lato" w:cs="Arial"/>
          <w:bCs/>
          <w:color w:val="002060"/>
        </w:rPr>
        <w:t>First and foremost, we need an adequate CEST tool in place</w:t>
      </w:r>
      <w:r w:rsidR="00F00F7A" w:rsidRPr="00B51F37">
        <w:rPr>
          <w:rFonts w:ascii="Lato" w:hAnsi="Lato" w:cs="Arial"/>
          <w:bCs/>
          <w:color w:val="002060"/>
        </w:rPr>
        <w:t>.</w:t>
      </w:r>
      <w:r w:rsidR="00A66671" w:rsidRPr="00B51F37">
        <w:rPr>
          <w:rFonts w:ascii="Lato" w:hAnsi="Lato" w:cs="Arial"/>
          <w:bCs/>
          <w:color w:val="002060"/>
        </w:rPr>
        <w:t xml:space="preserve"> </w:t>
      </w:r>
      <w:r w:rsidR="00A66671" w:rsidRPr="00B51F37">
        <w:rPr>
          <w:rFonts w:ascii="Lato" w:hAnsi="Lato" w:cs="Calibri"/>
          <w:bCs/>
          <w:color w:val="002060"/>
          <w:szCs w:val="22"/>
        </w:rPr>
        <w:t>Secondly</w:t>
      </w:r>
      <w:r w:rsidR="00BA7040" w:rsidRPr="00B51F37">
        <w:rPr>
          <w:rFonts w:ascii="Lato" w:hAnsi="Lato" w:cs="Calibri"/>
          <w:bCs/>
          <w:color w:val="002060"/>
          <w:szCs w:val="22"/>
        </w:rPr>
        <w:t>,</w:t>
      </w:r>
      <w:r w:rsidR="00A66671" w:rsidRPr="00B51F37">
        <w:rPr>
          <w:rFonts w:ascii="Lato" w:hAnsi="Lato" w:cs="Calibri"/>
          <w:bCs/>
          <w:color w:val="002060"/>
          <w:szCs w:val="22"/>
        </w:rPr>
        <w:t xml:space="preserve"> HMRC </w:t>
      </w:r>
      <w:r w:rsidR="00446614" w:rsidRPr="00B51F37">
        <w:rPr>
          <w:rFonts w:ascii="Lato" w:hAnsi="Lato" w:cs="Calibri"/>
          <w:bCs/>
          <w:color w:val="002060"/>
          <w:szCs w:val="22"/>
        </w:rPr>
        <w:t>must</w:t>
      </w:r>
      <w:r w:rsidR="00A66671" w:rsidRPr="00B51F37">
        <w:rPr>
          <w:rFonts w:ascii="Lato" w:hAnsi="Lato" w:cs="Calibri"/>
          <w:bCs/>
          <w:color w:val="002060"/>
          <w:szCs w:val="22"/>
        </w:rPr>
        <w:t xml:space="preserve"> reinforce to clients their statutory obligation to provide a Status Determination </w:t>
      </w:r>
      <w:r w:rsidR="00446614" w:rsidRPr="00B51F37">
        <w:rPr>
          <w:rFonts w:ascii="Lato" w:hAnsi="Lato" w:cs="Calibri"/>
          <w:bCs/>
          <w:color w:val="002060"/>
          <w:szCs w:val="22"/>
        </w:rPr>
        <w:t xml:space="preserve">Statement (SDS) </w:t>
      </w:r>
      <w:r w:rsidR="00A66671" w:rsidRPr="00B51F37">
        <w:rPr>
          <w:rFonts w:ascii="Lato" w:hAnsi="Lato" w:cs="Calibri"/>
          <w:bCs/>
          <w:color w:val="002060"/>
          <w:szCs w:val="22"/>
        </w:rPr>
        <w:t xml:space="preserve">and not to shift </w:t>
      </w:r>
      <w:r w:rsidR="00446614" w:rsidRPr="00B51F37">
        <w:rPr>
          <w:rFonts w:ascii="Lato" w:hAnsi="Lato" w:cs="Calibri"/>
          <w:bCs/>
          <w:color w:val="002060"/>
          <w:szCs w:val="22"/>
        </w:rPr>
        <w:t>their responsibility</w:t>
      </w:r>
      <w:r w:rsidR="00A66671" w:rsidRPr="00B51F37">
        <w:rPr>
          <w:rFonts w:ascii="Lato" w:hAnsi="Lato" w:cs="Calibri"/>
          <w:bCs/>
          <w:color w:val="002060"/>
          <w:szCs w:val="22"/>
        </w:rPr>
        <w:t xml:space="preserve"> to </w:t>
      </w:r>
      <w:r w:rsidR="00446614" w:rsidRPr="00B51F37">
        <w:rPr>
          <w:rFonts w:ascii="Lato" w:hAnsi="Lato" w:cs="Calibri"/>
          <w:bCs/>
          <w:color w:val="002060"/>
          <w:szCs w:val="22"/>
        </w:rPr>
        <w:t>other</w:t>
      </w:r>
      <w:r w:rsidR="00A66671" w:rsidRPr="00B51F37">
        <w:rPr>
          <w:rFonts w:ascii="Lato" w:hAnsi="Lato" w:cs="Calibri"/>
          <w:bCs/>
          <w:color w:val="002060"/>
          <w:szCs w:val="22"/>
        </w:rPr>
        <w:t xml:space="preserve"> parties </w:t>
      </w:r>
      <w:r w:rsidR="00446614" w:rsidRPr="00B51F37">
        <w:rPr>
          <w:rFonts w:ascii="Lato" w:hAnsi="Lato" w:cs="Calibri"/>
          <w:bCs/>
          <w:color w:val="002060"/>
          <w:szCs w:val="22"/>
        </w:rPr>
        <w:t>i</w:t>
      </w:r>
      <w:r w:rsidR="00A66671" w:rsidRPr="00B51F37">
        <w:rPr>
          <w:rFonts w:ascii="Lato" w:hAnsi="Lato" w:cs="Calibri"/>
          <w:bCs/>
          <w:color w:val="002060"/>
          <w:szCs w:val="22"/>
        </w:rPr>
        <w:t xml:space="preserve">n the supply chain. </w:t>
      </w:r>
    </w:p>
    <w:p w14:paraId="145B1BFA" w14:textId="77777777" w:rsidR="00B51F37" w:rsidRPr="00B51F37" w:rsidRDefault="00B51F37" w:rsidP="00B51F37">
      <w:pPr>
        <w:pStyle w:val="ListParagraph"/>
        <w:autoSpaceDE w:val="0"/>
        <w:autoSpaceDN w:val="0"/>
        <w:adjustRightInd w:val="0"/>
        <w:jc w:val="both"/>
        <w:rPr>
          <w:rFonts w:ascii="Lato" w:hAnsi="Lato" w:cs="Calibri"/>
          <w:bCs/>
          <w:color w:val="0D133D"/>
          <w:szCs w:val="22"/>
        </w:rPr>
      </w:pPr>
    </w:p>
    <w:p w14:paraId="1A6B8E3E" w14:textId="09290CAC" w:rsidR="00A53392" w:rsidRPr="00B51F37" w:rsidRDefault="00A66671" w:rsidP="00B51F37">
      <w:pPr>
        <w:pStyle w:val="BodyText"/>
        <w:numPr>
          <w:ilvl w:val="0"/>
          <w:numId w:val="1"/>
        </w:numPr>
        <w:jc w:val="both"/>
        <w:rPr>
          <w:rFonts w:eastAsia="Times New Roman" w:cs="Calibri"/>
          <w:color w:val="002060"/>
          <w:sz w:val="22"/>
          <w:szCs w:val="22"/>
        </w:rPr>
      </w:pPr>
      <w:r w:rsidRPr="00B51F37">
        <w:rPr>
          <w:rFonts w:cs="Calibri"/>
          <w:color w:val="002060"/>
          <w:sz w:val="22"/>
          <w:szCs w:val="22"/>
          <w:shd w:val="clear" w:color="auto" w:fill="F9F9F9"/>
        </w:rPr>
        <w:t xml:space="preserve">We constantly get </w:t>
      </w:r>
      <w:r w:rsidR="00D223BA" w:rsidRPr="00B51F37">
        <w:rPr>
          <w:rFonts w:cs="Calibri"/>
          <w:color w:val="002060"/>
          <w:sz w:val="22"/>
          <w:szCs w:val="22"/>
          <w:shd w:val="clear" w:color="auto" w:fill="F9F9F9"/>
        </w:rPr>
        <w:t>feedback</w:t>
      </w:r>
      <w:r w:rsidRPr="00B51F37">
        <w:rPr>
          <w:rFonts w:cs="Calibri"/>
          <w:color w:val="002060"/>
          <w:sz w:val="22"/>
          <w:szCs w:val="22"/>
          <w:shd w:val="clear" w:color="auto" w:fill="F9F9F9"/>
        </w:rPr>
        <w:t xml:space="preserve"> from our members </w:t>
      </w:r>
      <w:r w:rsidR="00D223BA" w:rsidRPr="00B51F37">
        <w:rPr>
          <w:rFonts w:cs="Calibri"/>
          <w:color w:val="002060"/>
          <w:sz w:val="22"/>
          <w:szCs w:val="22"/>
          <w:shd w:val="clear" w:color="auto" w:fill="F9F9F9"/>
        </w:rPr>
        <w:t>where client</w:t>
      </w:r>
      <w:r w:rsidR="00EC7E3A" w:rsidRPr="00B51F37">
        <w:rPr>
          <w:rFonts w:cs="Calibri"/>
          <w:color w:val="002060"/>
          <w:sz w:val="22"/>
          <w:szCs w:val="22"/>
          <w:shd w:val="clear" w:color="auto" w:fill="F9F9F9"/>
        </w:rPr>
        <w:t>s</w:t>
      </w:r>
      <w:r w:rsidR="00D223BA" w:rsidRPr="00B51F37">
        <w:rPr>
          <w:rFonts w:cs="Calibri"/>
          <w:color w:val="002060"/>
          <w:sz w:val="22"/>
          <w:szCs w:val="22"/>
          <w:shd w:val="clear" w:color="auto" w:fill="F9F9F9"/>
        </w:rPr>
        <w:t xml:space="preserve"> are re</w:t>
      </w:r>
      <w:r w:rsidR="00EC7E3A" w:rsidRPr="00B51F37">
        <w:rPr>
          <w:rFonts w:cs="Calibri"/>
          <w:color w:val="002060"/>
          <w:sz w:val="22"/>
          <w:szCs w:val="22"/>
          <w:shd w:val="clear" w:color="auto" w:fill="F9F9F9"/>
        </w:rPr>
        <w:t>fu</w:t>
      </w:r>
      <w:r w:rsidR="00D223BA" w:rsidRPr="00B51F37">
        <w:rPr>
          <w:rFonts w:cs="Calibri"/>
          <w:color w:val="002060"/>
          <w:sz w:val="22"/>
          <w:szCs w:val="22"/>
          <w:shd w:val="clear" w:color="auto" w:fill="F9F9F9"/>
        </w:rPr>
        <w:t>sing to produce the</w:t>
      </w:r>
      <w:r w:rsidR="00446614" w:rsidRPr="00B51F37">
        <w:rPr>
          <w:rFonts w:cs="Calibri"/>
          <w:color w:val="002060"/>
          <w:sz w:val="22"/>
          <w:szCs w:val="22"/>
          <w:shd w:val="clear" w:color="auto" w:fill="F9F9F9"/>
        </w:rPr>
        <w:t xml:space="preserve"> SDS</w:t>
      </w:r>
      <w:r w:rsidRPr="00B51F37">
        <w:rPr>
          <w:rFonts w:cs="Calibri"/>
          <w:color w:val="002060"/>
          <w:sz w:val="22"/>
          <w:szCs w:val="22"/>
          <w:shd w:val="clear" w:color="auto" w:fill="F9F9F9"/>
        </w:rPr>
        <w:t xml:space="preserve"> </w:t>
      </w:r>
      <w:r w:rsidR="00446614" w:rsidRPr="00B51F37">
        <w:rPr>
          <w:rFonts w:cs="Calibri"/>
          <w:color w:val="002060"/>
          <w:sz w:val="22"/>
          <w:szCs w:val="22"/>
          <w:shd w:val="clear" w:color="auto" w:fill="F9F9F9"/>
        </w:rPr>
        <w:t xml:space="preserve">and </w:t>
      </w:r>
      <w:r w:rsidRPr="00B51F37">
        <w:rPr>
          <w:rFonts w:cs="Calibri"/>
          <w:color w:val="002060"/>
          <w:sz w:val="22"/>
          <w:szCs w:val="22"/>
          <w:shd w:val="clear" w:color="auto" w:fill="F9F9F9"/>
        </w:rPr>
        <w:t xml:space="preserve">instead simply </w:t>
      </w:r>
      <w:r w:rsidR="00446614" w:rsidRPr="00B51F37">
        <w:rPr>
          <w:rFonts w:cs="Calibri"/>
          <w:color w:val="002060"/>
          <w:sz w:val="22"/>
          <w:szCs w:val="22"/>
          <w:shd w:val="clear" w:color="auto" w:fill="F9F9F9"/>
        </w:rPr>
        <w:t>inform</w:t>
      </w:r>
      <w:r w:rsidRPr="00B51F37">
        <w:rPr>
          <w:rFonts w:cs="Calibri"/>
          <w:color w:val="002060"/>
          <w:sz w:val="22"/>
          <w:szCs w:val="22"/>
          <w:shd w:val="clear" w:color="auto" w:fill="F9F9F9"/>
        </w:rPr>
        <w:t xml:space="preserve"> </w:t>
      </w:r>
      <w:r w:rsidR="00D223BA" w:rsidRPr="00B51F37">
        <w:rPr>
          <w:rFonts w:cs="Calibri"/>
          <w:color w:val="002060"/>
          <w:sz w:val="22"/>
          <w:szCs w:val="22"/>
          <w:shd w:val="clear" w:color="auto" w:fill="F9F9F9"/>
        </w:rPr>
        <w:t xml:space="preserve">the feepayer and contractor that the role </w:t>
      </w:r>
      <w:r w:rsidR="00446614" w:rsidRPr="00B51F37">
        <w:rPr>
          <w:rFonts w:cs="Calibri"/>
          <w:color w:val="002060"/>
          <w:sz w:val="22"/>
          <w:szCs w:val="22"/>
          <w:shd w:val="clear" w:color="auto" w:fill="F9F9F9"/>
        </w:rPr>
        <w:t xml:space="preserve">is </w:t>
      </w:r>
      <w:r w:rsidR="00D223BA" w:rsidRPr="00B51F37">
        <w:rPr>
          <w:rFonts w:cs="Calibri"/>
          <w:color w:val="002060"/>
          <w:sz w:val="22"/>
          <w:szCs w:val="22"/>
          <w:shd w:val="clear" w:color="auto" w:fill="F9F9F9"/>
        </w:rPr>
        <w:t>inside IR35 with</w:t>
      </w:r>
      <w:r w:rsidR="00446614" w:rsidRPr="00B51F37">
        <w:rPr>
          <w:rFonts w:cs="Calibri"/>
          <w:color w:val="002060"/>
          <w:sz w:val="22"/>
          <w:szCs w:val="22"/>
          <w:shd w:val="clear" w:color="auto" w:fill="F9F9F9"/>
        </w:rPr>
        <w:t>out</w:t>
      </w:r>
      <w:r w:rsidR="00D223BA" w:rsidRPr="00B51F37">
        <w:rPr>
          <w:rFonts w:cs="Calibri"/>
          <w:color w:val="002060"/>
          <w:sz w:val="22"/>
          <w:szCs w:val="22"/>
          <w:shd w:val="clear" w:color="auto" w:fill="F9F9F9"/>
        </w:rPr>
        <w:t xml:space="preserve"> explaining how the</w:t>
      </w:r>
      <w:r w:rsidR="00A53392" w:rsidRPr="00B51F37">
        <w:rPr>
          <w:rFonts w:cs="Calibri"/>
          <w:color w:val="002060"/>
          <w:sz w:val="22"/>
          <w:szCs w:val="22"/>
          <w:shd w:val="clear" w:color="auto" w:fill="F9F9F9"/>
        </w:rPr>
        <w:t>y</w:t>
      </w:r>
      <w:r w:rsidR="00D223BA" w:rsidRPr="00B51F37">
        <w:rPr>
          <w:rFonts w:cs="Calibri"/>
          <w:color w:val="002060"/>
          <w:sz w:val="22"/>
          <w:szCs w:val="22"/>
          <w:shd w:val="clear" w:color="auto" w:fill="F9F9F9"/>
        </w:rPr>
        <w:t xml:space="preserve"> reached the decision.</w:t>
      </w:r>
      <w:r w:rsidR="00A53392" w:rsidRPr="00B51F37">
        <w:rPr>
          <w:rFonts w:cs="Calibri"/>
          <w:color w:val="002060"/>
          <w:sz w:val="22"/>
          <w:szCs w:val="22"/>
        </w:rPr>
        <w:t xml:space="preserve"> </w:t>
      </w:r>
      <w:r w:rsidR="0056173F" w:rsidRPr="00B51F37">
        <w:rPr>
          <w:rFonts w:eastAsia="Times New Roman" w:cs="Calibri"/>
          <w:color w:val="002060"/>
          <w:sz w:val="22"/>
          <w:szCs w:val="22"/>
          <w14:ligatures w14:val="none"/>
        </w:rPr>
        <w:t xml:space="preserve">Client making a blanket decision that all PSC engagements are inside IR35 is not reasonable care. </w:t>
      </w:r>
      <w:r w:rsidR="00446614" w:rsidRPr="00B51F37">
        <w:rPr>
          <w:rFonts w:cs="Calibri"/>
          <w:color w:val="002060"/>
          <w:sz w:val="22"/>
          <w:szCs w:val="22"/>
        </w:rPr>
        <w:t>S</w:t>
      </w:r>
      <w:r w:rsidR="00A53392" w:rsidRPr="00B51F37">
        <w:rPr>
          <w:rFonts w:cs="Calibri"/>
          <w:color w:val="002060"/>
          <w:sz w:val="22"/>
          <w:szCs w:val="22"/>
        </w:rPr>
        <w:t>ome clien</w:t>
      </w:r>
      <w:r w:rsidR="00446614" w:rsidRPr="00B51F37">
        <w:rPr>
          <w:rFonts w:cs="Calibri"/>
          <w:color w:val="002060"/>
          <w:sz w:val="22"/>
          <w:szCs w:val="22"/>
        </w:rPr>
        <w:t xml:space="preserve">ts </w:t>
      </w:r>
      <w:r w:rsidR="00A53392" w:rsidRPr="00B51F37">
        <w:rPr>
          <w:rFonts w:cs="Calibri"/>
          <w:color w:val="002060"/>
          <w:sz w:val="22"/>
          <w:szCs w:val="22"/>
        </w:rPr>
        <w:t>continue to issue blanket decisions</w:t>
      </w:r>
      <w:r w:rsidR="00446614" w:rsidRPr="00B51F37">
        <w:rPr>
          <w:rFonts w:cs="Calibri"/>
          <w:color w:val="002060"/>
          <w:sz w:val="22"/>
          <w:szCs w:val="22"/>
        </w:rPr>
        <w:t xml:space="preserve"> which </w:t>
      </w:r>
      <w:r w:rsidR="00A53392" w:rsidRPr="00B51F37">
        <w:rPr>
          <w:rFonts w:cs="Calibri"/>
          <w:color w:val="002060"/>
          <w:sz w:val="22"/>
          <w:szCs w:val="22"/>
        </w:rPr>
        <w:t xml:space="preserve">raises two issues: </w:t>
      </w:r>
    </w:p>
    <w:p w14:paraId="5114727F" w14:textId="040D3052" w:rsidR="00A53392" w:rsidRPr="00B51F37" w:rsidRDefault="00A53392" w:rsidP="00B51F37">
      <w:pPr>
        <w:pStyle w:val="Default"/>
        <w:numPr>
          <w:ilvl w:val="0"/>
          <w:numId w:val="12"/>
        </w:numPr>
        <w:jc w:val="both"/>
        <w:rPr>
          <w:rFonts w:ascii="Lato" w:hAnsi="Lato" w:cs="Calibri"/>
          <w:color w:val="002060"/>
          <w:sz w:val="22"/>
          <w:szCs w:val="22"/>
        </w:rPr>
      </w:pPr>
      <w:r w:rsidRPr="00B51F37">
        <w:rPr>
          <w:rFonts w:ascii="Lato" w:hAnsi="Lato" w:cs="Calibri"/>
          <w:color w:val="002060"/>
          <w:sz w:val="22"/>
          <w:szCs w:val="22"/>
        </w:rPr>
        <w:t>This means there is a very real risk of moving from false self-employment to false employment</w:t>
      </w:r>
      <w:r w:rsidR="00446614" w:rsidRPr="00B51F37">
        <w:rPr>
          <w:rFonts w:ascii="Lato" w:hAnsi="Lato" w:cs="Calibri"/>
          <w:color w:val="002060"/>
          <w:sz w:val="22"/>
          <w:szCs w:val="22"/>
        </w:rPr>
        <w:t xml:space="preserve"> and some</w:t>
      </w:r>
      <w:r w:rsidRPr="00B51F37">
        <w:rPr>
          <w:rFonts w:ascii="Lato" w:hAnsi="Lato" w:cs="Calibri"/>
          <w:color w:val="002060"/>
          <w:sz w:val="22"/>
          <w:szCs w:val="22"/>
        </w:rPr>
        <w:t xml:space="preserve"> of those contractors will challenge those decisions and seek tax rebates. </w:t>
      </w:r>
    </w:p>
    <w:p w14:paraId="3C354912" w14:textId="3A3CD11A" w:rsidR="00A66671" w:rsidRPr="00B51F37" w:rsidRDefault="00A53392" w:rsidP="00B51F37">
      <w:pPr>
        <w:pStyle w:val="ListParagraph"/>
        <w:numPr>
          <w:ilvl w:val="0"/>
          <w:numId w:val="12"/>
        </w:numPr>
        <w:autoSpaceDE w:val="0"/>
        <w:autoSpaceDN w:val="0"/>
        <w:adjustRightInd w:val="0"/>
        <w:jc w:val="both"/>
        <w:rPr>
          <w:rFonts w:ascii="Lato" w:hAnsi="Lato" w:cs="Calibri"/>
          <w:color w:val="002060"/>
          <w:szCs w:val="22"/>
        </w:rPr>
      </w:pPr>
      <w:r w:rsidRPr="00B51F37">
        <w:rPr>
          <w:rFonts w:ascii="Lato" w:hAnsi="Lato" w:cs="Calibri"/>
          <w:color w:val="002060"/>
          <w:szCs w:val="22"/>
        </w:rPr>
        <w:lastRenderedPageBreak/>
        <w:t xml:space="preserve">It also suggests that clients either (1) do not trust the CEST </w:t>
      </w:r>
      <w:r w:rsidR="0056173F" w:rsidRPr="00B51F37">
        <w:rPr>
          <w:rFonts w:ascii="Lato" w:hAnsi="Lato" w:cs="Calibri"/>
          <w:color w:val="002060"/>
          <w:szCs w:val="22"/>
        </w:rPr>
        <w:t>tool for reasons stated above</w:t>
      </w:r>
      <w:r w:rsidR="00644ABF" w:rsidRPr="00B51F37">
        <w:rPr>
          <w:rFonts w:ascii="Lato" w:hAnsi="Lato" w:cs="Calibri"/>
          <w:color w:val="002060"/>
          <w:szCs w:val="22"/>
        </w:rPr>
        <w:t>,</w:t>
      </w:r>
      <w:r w:rsidRPr="00B51F37">
        <w:rPr>
          <w:rFonts w:ascii="Lato" w:hAnsi="Lato" w:cs="Calibri"/>
          <w:color w:val="002060"/>
          <w:szCs w:val="22"/>
        </w:rPr>
        <w:t xml:space="preserve"> or (2) do not have the capacity to do individual assessments on an engagement</w:t>
      </w:r>
      <w:r w:rsidR="00644ABF" w:rsidRPr="00B51F37">
        <w:rPr>
          <w:rFonts w:ascii="Lato" w:hAnsi="Lato" w:cs="Calibri"/>
          <w:color w:val="002060"/>
          <w:szCs w:val="22"/>
        </w:rPr>
        <w:t>-</w:t>
      </w:r>
      <w:r w:rsidRPr="00B51F37">
        <w:rPr>
          <w:rFonts w:ascii="Lato" w:hAnsi="Lato" w:cs="Calibri"/>
          <w:color w:val="002060"/>
          <w:szCs w:val="22"/>
        </w:rPr>
        <w:t>by</w:t>
      </w:r>
      <w:r w:rsidR="00644ABF" w:rsidRPr="00B51F37">
        <w:rPr>
          <w:rFonts w:ascii="Lato" w:hAnsi="Lato" w:cs="Calibri"/>
          <w:color w:val="002060"/>
          <w:szCs w:val="22"/>
        </w:rPr>
        <w:t>-</w:t>
      </w:r>
      <w:r w:rsidRPr="00B51F37">
        <w:rPr>
          <w:rFonts w:ascii="Lato" w:hAnsi="Lato" w:cs="Calibri"/>
          <w:color w:val="002060"/>
          <w:szCs w:val="22"/>
        </w:rPr>
        <w:t>engagement basis</w:t>
      </w:r>
      <w:r w:rsidR="00674C0A" w:rsidRPr="00B51F37">
        <w:rPr>
          <w:rFonts w:ascii="Lato" w:hAnsi="Lato" w:cs="Calibri"/>
          <w:color w:val="002060"/>
          <w:szCs w:val="22"/>
        </w:rPr>
        <w:t>.</w:t>
      </w:r>
    </w:p>
    <w:p w14:paraId="36944C4A" w14:textId="77777777" w:rsidR="00C47E1A" w:rsidRPr="004C394F" w:rsidRDefault="00C47E1A" w:rsidP="00B51F37">
      <w:pPr>
        <w:pStyle w:val="ListParagraph"/>
        <w:autoSpaceDE w:val="0"/>
        <w:autoSpaceDN w:val="0"/>
        <w:adjustRightInd w:val="0"/>
        <w:jc w:val="both"/>
        <w:rPr>
          <w:rFonts w:ascii="Lato" w:hAnsi="Lato" w:cs="Calibri"/>
          <w:bCs/>
          <w:color w:val="0D133D"/>
          <w:szCs w:val="22"/>
        </w:rPr>
      </w:pPr>
    </w:p>
    <w:p w14:paraId="50E4227F" w14:textId="0A682B9C" w:rsidR="008541B9" w:rsidRDefault="008541B9" w:rsidP="00B51F37">
      <w:pPr>
        <w:autoSpaceDE w:val="0"/>
        <w:autoSpaceDN w:val="0"/>
        <w:adjustRightInd w:val="0"/>
        <w:jc w:val="both"/>
        <w:rPr>
          <w:rFonts w:ascii="Lato" w:hAnsi="Lato" w:cs="Arial"/>
          <w:b/>
          <w:color w:val="0D133D"/>
        </w:rPr>
      </w:pPr>
      <w:r w:rsidRPr="008541B9">
        <w:rPr>
          <w:rFonts w:ascii="Lato" w:hAnsi="Lato" w:cs="Arial"/>
          <w:b/>
          <w:color w:val="0D133D"/>
        </w:rPr>
        <w:t>To what extent has the introduction of the new rules generated disputes between engagers and contractors</w:t>
      </w:r>
      <w:r w:rsidR="008539FE">
        <w:rPr>
          <w:rFonts w:ascii="Lato" w:hAnsi="Lato" w:cs="Arial"/>
          <w:b/>
          <w:color w:val="0D133D"/>
        </w:rPr>
        <w:t>,</w:t>
      </w:r>
      <w:r w:rsidRPr="008541B9">
        <w:rPr>
          <w:rFonts w:ascii="Lato" w:hAnsi="Lato" w:cs="Arial"/>
          <w:b/>
          <w:color w:val="0D133D"/>
        </w:rPr>
        <w:t xml:space="preserve"> concerning the status of contractors </w:t>
      </w:r>
      <w:r w:rsidRPr="008541B9">
        <w:rPr>
          <w:rFonts w:ascii="Lato" w:hAnsi="Lato" w:cs="Arial"/>
          <w:b/>
          <w:i/>
          <w:iCs/>
          <w:color w:val="0D133D"/>
        </w:rPr>
        <w:t xml:space="preserve">vis à </w:t>
      </w:r>
      <w:r w:rsidR="008539FE" w:rsidRPr="008541B9">
        <w:rPr>
          <w:rFonts w:ascii="Lato" w:hAnsi="Lato" w:cs="Arial"/>
          <w:b/>
          <w:i/>
          <w:iCs/>
          <w:color w:val="0D133D"/>
        </w:rPr>
        <w:t>vis</w:t>
      </w:r>
      <w:r w:rsidR="008539FE">
        <w:rPr>
          <w:rFonts w:ascii="Lato" w:hAnsi="Lato" w:cs="Arial"/>
          <w:b/>
          <w:i/>
          <w:iCs/>
          <w:color w:val="0D133D"/>
        </w:rPr>
        <w:t xml:space="preserve"> </w:t>
      </w:r>
      <w:r w:rsidR="008539FE" w:rsidRPr="008541B9">
        <w:rPr>
          <w:rFonts w:ascii="Lato" w:hAnsi="Lato" w:cs="Arial"/>
          <w:b/>
          <w:i/>
          <w:iCs/>
          <w:color w:val="0D133D"/>
        </w:rPr>
        <w:t>the</w:t>
      </w:r>
      <w:r w:rsidRPr="008541B9">
        <w:rPr>
          <w:rFonts w:ascii="Lato" w:hAnsi="Lato" w:cs="Arial"/>
          <w:b/>
          <w:color w:val="0D133D"/>
        </w:rPr>
        <w:t xml:space="preserve"> rules</w:t>
      </w:r>
      <w:r w:rsidR="008539FE">
        <w:rPr>
          <w:rFonts w:ascii="Lato" w:hAnsi="Lato" w:cs="Arial"/>
          <w:b/>
          <w:color w:val="0D133D"/>
        </w:rPr>
        <w:t>,</w:t>
      </w:r>
      <w:r w:rsidRPr="008541B9">
        <w:rPr>
          <w:rFonts w:ascii="Lato" w:hAnsi="Lato" w:cs="Arial"/>
          <w:b/>
          <w:color w:val="0D133D"/>
        </w:rPr>
        <w:t xml:space="preserve"> and how successfully or otherwise have these been resolved?</w:t>
      </w:r>
    </w:p>
    <w:p w14:paraId="6073D900" w14:textId="77777777" w:rsidR="000A166B" w:rsidRPr="00CC268D" w:rsidRDefault="000A166B" w:rsidP="00B51F37">
      <w:pPr>
        <w:autoSpaceDE w:val="0"/>
        <w:autoSpaceDN w:val="0"/>
        <w:adjustRightInd w:val="0"/>
        <w:jc w:val="both"/>
        <w:rPr>
          <w:rFonts w:ascii="Lato" w:hAnsi="Lato" w:cs="Arial"/>
          <w:b/>
          <w:color w:val="0D133D"/>
        </w:rPr>
      </w:pPr>
    </w:p>
    <w:p w14:paraId="45B7B53D" w14:textId="2507CB87" w:rsidR="003827BE" w:rsidRPr="00B51F37" w:rsidRDefault="00262605" w:rsidP="00B51F37">
      <w:pPr>
        <w:pStyle w:val="ListParagraph"/>
        <w:numPr>
          <w:ilvl w:val="0"/>
          <w:numId w:val="1"/>
        </w:numPr>
        <w:autoSpaceDE w:val="0"/>
        <w:autoSpaceDN w:val="0"/>
        <w:adjustRightInd w:val="0"/>
        <w:jc w:val="both"/>
        <w:rPr>
          <w:rFonts w:ascii="Lato" w:hAnsi="Lato" w:cstheme="minorHAnsi"/>
          <w:color w:val="002060"/>
          <w:szCs w:val="22"/>
        </w:rPr>
      </w:pPr>
      <w:r w:rsidRPr="00B51F37">
        <w:rPr>
          <w:rFonts w:ascii="Lato" w:hAnsi="Lato" w:cstheme="minorHAnsi"/>
          <w:color w:val="002060"/>
          <w:szCs w:val="22"/>
        </w:rPr>
        <w:t xml:space="preserve">Our members and contractors have questioned the client's </w:t>
      </w:r>
      <w:r w:rsidR="003827BE" w:rsidRPr="00B51F37">
        <w:rPr>
          <w:rFonts w:ascii="Lato" w:hAnsi="Lato" w:cstheme="minorHAnsi"/>
          <w:color w:val="002060"/>
          <w:szCs w:val="22"/>
        </w:rPr>
        <w:t>SDS.</w:t>
      </w:r>
      <w:r w:rsidRPr="00B51F37">
        <w:rPr>
          <w:rFonts w:ascii="Lato" w:hAnsi="Lato" w:cstheme="minorHAnsi"/>
          <w:color w:val="002060"/>
          <w:szCs w:val="22"/>
        </w:rPr>
        <w:t xml:space="preserve"> However</w:t>
      </w:r>
      <w:r w:rsidR="0037644C" w:rsidRPr="00B51F37">
        <w:rPr>
          <w:rFonts w:ascii="Lato" w:hAnsi="Lato" w:cstheme="minorHAnsi"/>
          <w:color w:val="002060"/>
          <w:szCs w:val="22"/>
        </w:rPr>
        <w:t>,</w:t>
      </w:r>
      <w:r w:rsidRPr="00B51F37">
        <w:rPr>
          <w:rFonts w:ascii="Lato" w:hAnsi="Lato" w:cstheme="minorHAnsi"/>
          <w:color w:val="002060"/>
          <w:szCs w:val="22"/>
        </w:rPr>
        <w:t xml:space="preserve"> we still </w:t>
      </w:r>
      <w:r w:rsidR="008237EC" w:rsidRPr="00B51F37">
        <w:rPr>
          <w:rFonts w:ascii="Lato" w:hAnsi="Lato" w:cstheme="minorHAnsi"/>
          <w:color w:val="002060"/>
          <w:szCs w:val="22"/>
        </w:rPr>
        <w:t>maintain</w:t>
      </w:r>
      <w:r w:rsidRPr="00B51F37">
        <w:rPr>
          <w:rFonts w:ascii="Lato" w:hAnsi="Lato" w:cstheme="minorHAnsi"/>
          <w:color w:val="002060"/>
          <w:szCs w:val="22"/>
        </w:rPr>
        <w:t xml:space="preserve"> </w:t>
      </w:r>
      <w:r w:rsidR="009301AE" w:rsidRPr="00B51F37">
        <w:rPr>
          <w:rFonts w:ascii="Lato" w:hAnsi="Lato" w:cstheme="minorHAnsi"/>
          <w:color w:val="002060"/>
          <w:szCs w:val="22"/>
        </w:rPr>
        <w:t>that the</w:t>
      </w:r>
      <w:r w:rsidRPr="00B51F37">
        <w:rPr>
          <w:rFonts w:ascii="Lato" w:hAnsi="Lato" w:cstheme="minorHAnsi"/>
          <w:color w:val="002060"/>
          <w:szCs w:val="22"/>
        </w:rPr>
        <w:t xml:space="preserve"> legislation </w:t>
      </w:r>
      <w:r w:rsidR="009301AE" w:rsidRPr="00B51F37">
        <w:rPr>
          <w:rFonts w:ascii="Lato" w:hAnsi="Lato" w:cstheme="minorHAnsi"/>
          <w:color w:val="002060"/>
          <w:szCs w:val="22"/>
        </w:rPr>
        <w:t>i</w:t>
      </w:r>
      <w:r w:rsidRPr="00B51F37">
        <w:rPr>
          <w:rFonts w:ascii="Lato" w:hAnsi="Lato" w:cstheme="minorHAnsi"/>
          <w:color w:val="002060"/>
          <w:szCs w:val="22"/>
        </w:rPr>
        <w:t xml:space="preserve">ncluding a client led </w:t>
      </w:r>
      <w:r w:rsidR="003827BE" w:rsidRPr="00B51F37">
        <w:rPr>
          <w:rFonts w:ascii="Lato" w:hAnsi="Lato" w:cstheme="minorHAnsi"/>
          <w:color w:val="002060"/>
          <w:szCs w:val="22"/>
        </w:rPr>
        <w:t>disagreement</w:t>
      </w:r>
      <w:r w:rsidRPr="00B51F37">
        <w:rPr>
          <w:rFonts w:ascii="Lato" w:hAnsi="Lato" w:cstheme="minorHAnsi"/>
          <w:color w:val="002060"/>
          <w:szCs w:val="22"/>
        </w:rPr>
        <w:t xml:space="preserve"> process will not often result </w:t>
      </w:r>
      <w:r w:rsidR="009301AE" w:rsidRPr="00B51F37">
        <w:rPr>
          <w:rFonts w:ascii="Lato" w:hAnsi="Lato" w:cstheme="minorHAnsi"/>
          <w:color w:val="002060"/>
          <w:szCs w:val="22"/>
        </w:rPr>
        <w:t>i</w:t>
      </w:r>
      <w:r w:rsidRPr="00B51F37">
        <w:rPr>
          <w:rFonts w:ascii="Lato" w:hAnsi="Lato" w:cstheme="minorHAnsi"/>
          <w:color w:val="002060"/>
          <w:szCs w:val="22"/>
        </w:rPr>
        <w:t>n</w:t>
      </w:r>
      <w:r w:rsidR="009301AE" w:rsidRPr="00B51F37">
        <w:rPr>
          <w:rFonts w:ascii="Lato" w:hAnsi="Lato" w:cstheme="minorHAnsi"/>
          <w:color w:val="002060"/>
          <w:szCs w:val="22"/>
        </w:rPr>
        <w:t xml:space="preserve"> a</w:t>
      </w:r>
      <w:r w:rsidRPr="00B51F37">
        <w:rPr>
          <w:rFonts w:ascii="Lato" w:hAnsi="Lato" w:cstheme="minorHAnsi"/>
          <w:color w:val="002060"/>
          <w:szCs w:val="22"/>
        </w:rPr>
        <w:t xml:space="preserve"> fair outcome fo</w:t>
      </w:r>
      <w:r w:rsidR="0037644C" w:rsidRPr="00B51F37">
        <w:rPr>
          <w:rFonts w:ascii="Lato" w:hAnsi="Lato" w:cstheme="minorHAnsi"/>
          <w:color w:val="002060"/>
          <w:szCs w:val="22"/>
        </w:rPr>
        <w:t>r</w:t>
      </w:r>
      <w:r w:rsidRPr="00B51F37">
        <w:rPr>
          <w:rFonts w:ascii="Lato" w:hAnsi="Lato" w:cstheme="minorHAnsi"/>
          <w:color w:val="002060"/>
          <w:szCs w:val="22"/>
        </w:rPr>
        <w:t xml:space="preserve"> the fee  payer or the contractor. All parties should be able to rely on a statutory process managed by HMRC and not a client</w:t>
      </w:r>
      <w:r w:rsidR="009301AE" w:rsidRPr="00B51F37">
        <w:rPr>
          <w:rFonts w:ascii="Lato" w:hAnsi="Lato" w:cstheme="minorHAnsi"/>
          <w:color w:val="002060"/>
          <w:szCs w:val="22"/>
        </w:rPr>
        <w:t>-</w:t>
      </w:r>
      <w:r w:rsidRPr="00B51F37">
        <w:rPr>
          <w:rFonts w:ascii="Lato" w:hAnsi="Lato" w:cstheme="minorHAnsi"/>
          <w:color w:val="002060"/>
          <w:szCs w:val="22"/>
        </w:rPr>
        <w:t>led process – disagreements about a decision should not be managed by the client who made the decision in the first place.</w:t>
      </w:r>
      <w:r w:rsidR="003827BE" w:rsidRPr="00B51F37">
        <w:rPr>
          <w:rFonts w:ascii="Lato" w:hAnsi="Lato" w:cstheme="minorHAnsi"/>
          <w:color w:val="002060"/>
          <w:szCs w:val="22"/>
        </w:rPr>
        <w:t xml:space="preserve"> It is highly unlikely that a client would change its mind on a status decision that it has already made, merely because there is a disagreement (even less so if the client is satisfied that it has taken reasonable care in making its decision).  There </w:t>
      </w:r>
      <w:r w:rsidR="0037644C" w:rsidRPr="00B51F37">
        <w:rPr>
          <w:rFonts w:ascii="Lato" w:hAnsi="Lato" w:cstheme="minorHAnsi"/>
          <w:color w:val="002060"/>
          <w:szCs w:val="22"/>
        </w:rPr>
        <w:t xml:space="preserve">should </w:t>
      </w:r>
      <w:r w:rsidR="003827BE" w:rsidRPr="00B51F37">
        <w:rPr>
          <w:rFonts w:ascii="Lato" w:hAnsi="Lato" w:cstheme="minorHAnsi"/>
          <w:color w:val="002060"/>
          <w:szCs w:val="22"/>
        </w:rPr>
        <w:t xml:space="preserve">be a requirement for the </w:t>
      </w:r>
      <w:r w:rsidR="008237EC" w:rsidRPr="00B51F37">
        <w:rPr>
          <w:rFonts w:ascii="Lato" w:hAnsi="Lato" w:cstheme="minorHAnsi"/>
          <w:color w:val="002060"/>
          <w:szCs w:val="22"/>
        </w:rPr>
        <w:t>client</w:t>
      </w:r>
      <w:r w:rsidR="0037644C" w:rsidRPr="00B51F37">
        <w:rPr>
          <w:rFonts w:ascii="Lato" w:hAnsi="Lato" w:cstheme="minorHAnsi"/>
          <w:color w:val="002060"/>
          <w:szCs w:val="22"/>
        </w:rPr>
        <w:t xml:space="preserve"> to</w:t>
      </w:r>
      <w:r w:rsidR="008237EC" w:rsidRPr="00B51F37">
        <w:rPr>
          <w:rFonts w:ascii="Lato" w:hAnsi="Lato" w:cstheme="minorHAnsi"/>
          <w:color w:val="002060"/>
          <w:szCs w:val="22"/>
        </w:rPr>
        <w:t xml:space="preserve"> resolve</w:t>
      </w:r>
      <w:r w:rsidR="003827BE" w:rsidRPr="00B51F37">
        <w:rPr>
          <w:rFonts w:ascii="Lato" w:hAnsi="Lato" w:cstheme="minorHAnsi"/>
          <w:color w:val="002060"/>
          <w:szCs w:val="22"/>
        </w:rPr>
        <w:t xml:space="preserve"> the disagreement before the individual first provides their services (time permitting) and therefore before any payments for those services become due.</w:t>
      </w:r>
      <w:r w:rsidR="009301AE" w:rsidRPr="00B51F37">
        <w:rPr>
          <w:rFonts w:ascii="Lato" w:hAnsi="Lato" w:cstheme="minorHAnsi"/>
          <w:color w:val="002060"/>
          <w:szCs w:val="22"/>
        </w:rPr>
        <w:t xml:space="preserve"> </w:t>
      </w:r>
      <w:r w:rsidR="003827BE" w:rsidRPr="00B51F37">
        <w:rPr>
          <w:rFonts w:ascii="Lato" w:hAnsi="Lato" w:cstheme="minorHAnsi"/>
          <w:color w:val="002060"/>
          <w:szCs w:val="22"/>
        </w:rPr>
        <w:t xml:space="preserve">This would mean that payments would be subject to the correct tax treatment from the outset.  </w:t>
      </w:r>
    </w:p>
    <w:p w14:paraId="5CE08D4F" w14:textId="53B61577" w:rsidR="00753715" w:rsidRPr="00B51F37" w:rsidRDefault="00753715" w:rsidP="00B51F37">
      <w:pPr>
        <w:pStyle w:val="ListParagraph"/>
        <w:autoSpaceDE w:val="0"/>
        <w:autoSpaceDN w:val="0"/>
        <w:adjustRightInd w:val="0"/>
        <w:jc w:val="both"/>
        <w:rPr>
          <w:rFonts w:ascii="Lato" w:hAnsi="Lato" w:cstheme="minorHAnsi"/>
          <w:color w:val="002060"/>
          <w:szCs w:val="22"/>
        </w:rPr>
      </w:pPr>
    </w:p>
    <w:p w14:paraId="7553FF54" w14:textId="313F3420" w:rsidR="00F40EF6" w:rsidRPr="00B51F37" w:rsidRDefault="0037644C" w:rsidP="00B51F37">
      <w:pPr>
        <w:pStyle w:val="ListParagraph"/>
        <w:numPr>
          <w:ilvl w:val="0"/>
          <w:numId w:val="1"/>
        </w:numPr>
        <w:autoSpaceDE w:val="0"/>
        <w:autoSpaceDN w:val="0"/>
        <w:adjustRightInd w:val="0"/>
        <w:jc w:val="both"/>
        <w:rPr>
          <w:rFonts w:ascii="Lato" w:hAnsi="Lato" w:cs="Arial"/>
          <w:color w:val="002060"/>
        </w:rPr>
      </w:pPr>
      <w:r w:rsidRPr="00B51F37">
        <w:rPr>
          <w:rFonts w:ascii="Lato" w:hAnsi="Lato" w:cstheme="minorHAnsi"/>
          <w:color w:val="002060"/>
          <w:szCs w:val="22"/>
        </w:rPr>
        <w:t xml:space="preserve">As the </w:t>
      </w:r>
      <w:r w:rsidRPr="00B51F37">
        <w:rPr>
          <w:rFonts w:ascii="Lato" w:hAnsi="Lato" w:cstheme="minorHAnsi"/>
          <w:color w:val="002060"/>
          <w:szCs w:val="22"/>
          <w:shd w:val="clear" w:color="auto" w:fill="FFFFFF"/>
        </w:rPr>
        <w:t xml:space="preserve">legislation does not provide prescriptive steps on what the disagreement process should look </w:t>
      </w:r>
      <w:r w:rsidR="00F831AA" w:rsidRPr="00B51F37">
        <w:rPr>
          <w:rFonts w:ascii="Lato" w:hAnsi="Lato" w:cstheme="minorHAnsi"/>
          <w:color w:val="002060"/>
          <w:szCs w:val="22"/>
          <w:shd w:val="clear" w:color="auto" w:fill="FFFFFF"/>
        </w:rPr>
        <w:t>like,</w:t>
      </w:r>
      <w:r w:rsidRPr="00B51F37">
        <w:rPr>
          <w:rFonts w:ascii="Lato" w:hAnsi="Lato" w:cstheme="minorHAnsi"/>
          <w:color w:val="002060"/>
          <w:szCs w:val="22"/>
          <w:shd w:val="clear" w:color="auto" w:fill="FFFFFF"/>
        </w:rPr>
        <w:t xml:space="preserve"> </w:t>
      </w:r>
      <w:r w:rsidR="00011B22" w:rsidRPr="00B51F37">
        <w:rPr>
          <w:rFonts w:ascii="Lato" w:hAnsi="Lato" w:cstheme="minorHAnsi"/>
          <w:color w:val="002060"/>
          <w:szCs w:val="22"/>
          <w:shd w:val="clear" w:color="auto" w:fill="FFFFFF"/>
        </w:rPr>
        <w:t>and</w:t>
      </w:r>
      <w:r w:rsidRPr="00B51F37">
        <w:rPr>
          <w:rFonts w:ascii="Lato" w:hAnsi="Lato" w:cstheme="minorHAnsi"/>
          <w:color w:val="002060"/>
          <w:szCs w:val="22"/>
          <w:shd w:val="clear" w:color="auto" w:fill="FFFFFF"/>
        </w:rPr>
        <w:t xml:space="preserve"> the p</w:t>
      </w:r>
      <w:r w:rsidR="00011B22" w:rsidRPr="00B51F37">
        <w:rPr>
          <w:rFonts w:ascii="Lato" w:hAnsi="Lato" w:cstheme="minorHAnsi"/>
          <w:color w:val="002060"/>
          <w:szCs w:val="22"/>
          <w:shd w:val="clear" w:color="auto" w:fill="FFFFFF"/>
        </w:rPr>
        <w:t>rocess is weighted in favour of the client</w:t>
      </w:r>
      <w:r w:rsidR="00F831AA" w:rsidRPr="00B51F37">
        <w:rPr>
          <w:rFonts w:ascii="Lato" w:hAnsi="Lato" w:cstheme="minorHAnsi"/>
          <w:color w:val="002060"/>
          <w:szCs w:val="22"/>
          <w:shd w:val="clear" w:color="auto" w:fill="FFFFFF"/>
        </w:rPr>
        <w:t>,</w:t>
      </w:r>
      <w:r w:rsidR="00011B22" w:rsidRPr="00B51F37">
        <w:rPr>
          <w:rFonts w:ascii="Lato" w:hAnsi="Lato" w:cs="Arial"/>
          <w:color w:val="002060"/>
        </w:rPr>
        <w:t xml:space="preserve"> t</w:t>
      </w:r>
      <w:r w:rsidR="00F40EF6" w:rsidRPr="00B51F37">
        <w:rPr>
          <w:rFonts w:ascii="Lato" w:hAnsi="Lato" w:cs="Arial"/>
          <w:color w:val="002060"/>
        </w:rPr>
        <w:t>he only solution where disputes have arisen is either to part company or to seek to negotiate commercial changes to the arrangements</w:t>
      </w:r>
      <w:r w:rsidR="007B536D" w:rsidRPr="00B51F37">
        <w:rPr>
          <w:rFonts w:ascii="Lato" w:hAnsi="Lato" w:cs="Arial"/>
          <w:color w:val="002060"/>
        </w:rPr>
        <w:t>,</w:t>
      </w:r>
      <w:r w:rsidR="00F40EF6" w:rsidRPr="00B51F37">
        <w:rPr>
          <w:rFonts w:ascii="Lato" w:hAnsi="Lato" w:cs="Arial"/>
          <w:color w:val="002060"/>
        </w:rPr>
        <w:t xml:space="preserve"> to compensate contractors for the tax implications of disputed "inside IR35" determinations. </w:t>
      </w:r>
    </w:p>
    <w:p w14:paraId="5964D6F7" w14:textId="77777777" w:rsidR="008541B9" w:rsidRDefault="008541B9" w:rsidP="00B51F37">
      <w:pPr>
        <w:autoSpaceDE w:val="0"/>
        <w:autoSpaceDN w:val="0"/>
        <w:adjustRightInd w:val="0"/>
        <w:jc w:val="both"/>
        <w:rPr>
          <w:rFonts w:ascii="Lato" w:hAnsi="Lato" w:cs="Arial"/>
          <w:b/>
          <w:color w:val="0D133D"/>
        </w:rPr>
      </w:pPr>
    </w:p>
    <w:p w14:paraId="5B0C49B0" w14:textId="430DE47E" w:rsidR="008541B9" w:rsidRDefault="008541B9" w:rsidP="00B51F37">
      <w:pPr>
        <w:autoSpaceDE w:val="0"/>
        <w:autoSpaceDN w:val="0"/>
        <w:adjustRightInd w:val="0"/>
        <w:jc w:val="both"/>
        <w:rPr>
          <w:rFonts w:ascii="Lato" w:hAnsi="Lato" w:cs="Arial"/>
          <w:b/>
          <w:color w:val="0D133D"/>
        </w:rPr>
      </w:pPr>
      <w:r w:rsidRPr="008541B9">
        <w:rPr>
          <w:rFonts w:ascii="Lato" w:hAnsi="Lato" w:cs="Arial"/>
          <w:b/>
          <w:color w:val="0D133D"/>
        </w:rPr>
        <w:t>What behavioural effects have resulted from the introduction of the new rules in the private sector in terms of the arrangements adopted in hiring contractors?</w:t>
      </w:r>
    </w:p>
    <w:p w14:paraId="55C597AD" w14:textId="77777777" w:rsidR="00B25B29" w:rsidRDefault="00B25B29" w:rsidP="00B51F37">
      <w:pPr>
        <w:autoSpaceDE w:val="0"/>
        <w:autoSpaceDN w:val="0"/>
        <w:adjustRightInd w:val="0"/>
        <w:jc w:val="both"/>
        <w:rPr>
          <w:rFonts w:ascii="Lato" w:hAnsi="Lato" w:cs="Calibri"/>
          <w:bCs/>
          <w:color w:val="0D133D"/>
          <w:szCs w:val="22"/>
        </w:rPr>
      </w:pPr>
    </w:p>
    <w:p w14:paraId="0E9B58F1" w14:textId="183C52C2" w:rsidR="002529DF" w:rsidRPr="00B51F37" w:rsidRDefault="0027115A" w:rsidP="00B51F37">
      <w:pPr>
        <w:pStyle w:val="ListParagraph"/>
        <w:numPr>
          <w:ilvl w:val="0"/>
          <w:numId w:val="1"/>
        </w:numPr>
        <w:autoSpaceDE w:val="0"/>
        <w:autoSpaceDN w:val="0"/>
        <w:adjustRightInd w:val="0"/>
        <w:jc w:val="both"/>
        <w:rPr>
          <w:rFonts w:ascii="Lato" w:hAnsi="Lato" w:cs="Calibri"/>
          <w:bCs/>
          <w:color w:val="002060"/>
          <w:szCs w:val="22"/>
        </w:rPr>
      </w:pPr>
      <w:r w:rsidRPr="00B51F37">
        <w:rPr>
          <w:rFonts w:ascii="Lato" w:hAnsi="Lato" w:cs="Calibri"/>
          <w:bCs/>
          <w:color w:val="002060"/>
          <w:szCs w:val="22"/>
        </w:rPr>
        <w:t>As a</w:t>
      </w:r>
      <w:r w:rsidR="00011B22" w:rsidRPr="00B51F37">
        <w:rPr>
          <w:rFonts w:ascii="Lato" w:hAnsi="Lato" w:cs="Calibri"/>
          <w:bCs/>
          <w:color w:val="002060"/>
          <w:szCs w:val="22"/>
        </w:rPr>
        <w:t xml:space="preserve"> result of the off-payroll changes in the public and private sector</w:t>
      </w:r>
      <w:r w:rsidR="00287B8F" w:rsidRPr="00B51F37">
        <w:rPr>
          <w:rFonts w:ascii="Lato" w:hAnsi="Lato" w:cs="Calibri"/>
          <w:bCs/>
          <w:color w:val="002060"/>
          <w:szCs w:val="22"/>
        </w:rPr>
        <w:t>, there</w:t>
      </w:r>
      <w:r w:rsidR="00011B22" w:rsidRPr="00B51F37">
        <w:rPr>
          <w:rFonts w:ascii="Lato" w:hAnsi="Lato" w:cs="Calibri"/>
          <w:bCs/>
          <w:color w:val="002060"/>
          <w:szCs w:val="22"/>
        </w:rPr>
        <w:t xml:space="preserve"> has been a proliferation of umbrella companies who interposed themselves between agencies and personal service companies, thus becoming the feepayer and increasing the length of the supply chain.</w:t>
      </w:r>
      <w:r w:rsidRPr="00B51F37">
        <w:rPr>
          <w:rFonts w:ascii="Lato" w:hAnsi="Lato" w:cs="Calibri"/>
          <w:bCs/>
          <w:color w:val="002060"/>
          <w:szCs w:val="22"/>
          <w:shd w:val="clear" w:color="auto" w:fill="FFFFFF"/>
        </w:rPr>
        <w:t xml:space="preserve"> It is commonly known that some umbrella companies are non-compliant and operate </w:t>
      </w:r>
      <w:hyperlink r:id="rId12" w:history="1">
        <w:r w:rsidRPr="00B51F37">
          <w:rPr>
            <w:rFonts w:ascii="Lato" w:hAnsi="Lato" w:cs="Calibri"/>
            <w:bCs/>
            <w:color w:val="1D70B8"/>
            <w:szCs w:val="22"/>
            <w:u w:val="single"/>
            <w:shd w:val="clear" w:color="auto" w:fill="FFFFFF"/>
          </w:rPr>
          <w:t>disguised remuneration schemes</w:t>
        </w:r>
      </w:hyperlink>
      <w:r w:rsidRPr="00B51F37">
        <w:rPr>
          <w:rFonts w:ascii="Lato" w:hAnsi="Lato" w:cs="Calibri"/>
          <w:bCs/>
          <w:color w:val="0B0C0C"/>
          <w:szCs w:val="22"/>
          <w:shd w:val="clear" w:color="auto" w:fill="FFFFFF"/>
        </w:rPr>
        <w:t xml:space="preserve">. </w:t>
      </w:r>
      <w:r w:rsidRPr="00B51F37">
        <w:rPr>
          <w:rFonts w:ascii="Lato" w:hAnsi="Lato" w:cs="Calibri"/>
          <w:bCs/>
          <w:color w:val="002060"/>
          <w:szCs w:val="22"/>
          <w:shd w:val="clear" w:color="auto" w:fill="FFFFFF"/>
        </w:rPr>
        <w:t>These schemes claim to prevent certain payments made to workers from being taxable. They aim to do this by describing taxable earnings paid to a worker for doing their job as something that is non-taxable instead.</w:t>
      </w:r>
      <w:r w:rsidRPr="00B51F37">
        <w:rPr>
          <w:rFonts w:ascii="Lato" w:hAnsi="Lato" w:cs="Calibri"/>
          <w:bCs/>
          <w:color w:val="002060"/>
          <w:szCs w:val="22"/>
        </w:rPr>
        <w:t xml:space="preserve"> </w:t>
      </w:r>
      <w:r w:rsidR="00011B22" w:rsidRPr="00B51F37">
        <w:rPr>
          <w:rFonts w:ascii="Lato" w:hAnsi="Lato" w:cs="Calibri"/>
          <w:bCs/>
          <w:color w:val="002060"/>
          <w:szCs w:val="22"/>
        </w:rPr>
        <w:t xml:space="preserve">We are aware that BEIS is looking at ways to define umbrella companies in legislation as part of the Good Work </w:t>
      </w:r>
      <w:r w:rsidR="000414C3" w:rsidRPr="00B51F37">
        <w:rPr>
          <w:rFonts w:ascii="Lato" w:hAnsi="Lato" w:cs="Calibri"/>
          <w:bCs/>
          <w:color w:val="002060"/>
          <w:szCs w:val="22"/>
        </w:rPr>
        <w:t>Plan. For</w:t>
      </w:r>
      <w:r w:rsidR="002529DF" w:rsidRPr="00B51F37">
        <w:rPr>
          <w:rFonts w:ascii="Lato" w:hAnsi="Lato" w:cs="Calibri"/>
          <w:bCs/>
          <w:color w:val="002060"/>
          <w:szCs w:val="22"/>
        </w:rPr>
        <w:t xml:space="preserve"> many years</w:t>
      </w:r>
      <w:r w:rsidR="0036472A" w:rsidRPr="00B51F37">
        <w:rPr>
          <w:rFonts w:ascii="Lato" w:hAnsi="Lato" w:cs="Calibri"/>
          <w:bCs/>
          <w:color w:val="002060"/>
          <w:szCs w:val="22"/>
        </w:rPr>
        <w:t>, The</w:t>
      </w:r>
      <w:r w:rsidR="002529DF" w:rsidRPr="00B51F37">
        <w:rPr>
          <w:rFonts w:ascii="Lato" w:hAnsi="Lato" w:cs="Calibri"/>
          <w:bCs/>
          <w:color w:val="002060"/>
          <w:szCs w:val="22"/>
        </w:rPr>
        <w:t xml:space="preserve"> REC has called on the government to properly regulate the umbrella / intermediary market</w:t>
      </w:r>
      <w:r w:rsidR="000414C3" w:rsidRPr="00B51F37">
        <w:rPr>
          <w:rFonts w:ascii="Lato" w:hAnsi="Lato" w:cs="Calibri"/>
          <w:bCs/>
          <w:color w:val="002060"/>
          <w:szCs w:val="22"/>
        </w:rPr>
        <w:t xml:space="preserve">. </w:t>
      </w:r>
      <w:r w:rsidR="002529DF" w:rsidRPr="00B51F37">
        <w:rPr>
          <w:rFonts w:ascii="Lato" w:hAnsi="Lato" w:cs="Calibri"/>
          <w:bCs/>
          <w:color w:val="002060"/>
          <w:szCs w:val="22"/>
        </w:rPr>
        <w:t xml:space="preserve">While there are compliant umbrellas in the market, there are others which are </w:t>
      </w:r>
      <w:r w:rsidR="00880A7C" w:rsidRPr="00B51F37">
        <w:rPr>
          <w:rFonts w:ascii="Lato" w:hAnsi="Lato" w:cs="Calibri"/>
          <w:bCs/>
          <w:color w:val="002060"/>
          <w:szCs w:val="22"/>
        </w:rPr>
        <w:t>not,</w:t>
      </w:r>
      <w:r w:rsidR="002529DF" w:rsidRPr="00B51F37">
        <w:rPr>
          <w:rFonts w:ascii="Lato" w:hAnsi="Lato" w:cs="Calibri"/>
          <w:bCs/>
          <w:color w:val="002060"/>
          <w:szCs w:val="22"/>
        </w:rPr>
        <w:t xml:space="preserve"> and it can be difficult for agencies and workers alike to distinguish between the two.  </w:t>
      </w:r>
    </w:p>
    <w:p w14:paraId="66AD1793" w14:textId="7E344967" w:rsidR="008541B9" w:rsidRPr="00B51F37" w:rsidRDefault="008541B9" w:rsidP="00B51F37">
      <w:pPr>
        <w:autoSpaceDE w:val="0"/>
        <w:autoSpaceDN w:val="0"/>
        <w:adjustRightInd w:val="0"/>
        <w:jc w:val="both"/>
        <w:rPr>
          <w:rFonts w:ascii="Lato" w:hAnsi="Lato" w:cstheme="minorHAnsi"/>
          <w:bCs/>
          <w:color w:val="002060"/>
          <w:szCs w:val="22"/>
        </w:rPr>
      </w:pPr>
    </w:p>
    <w:p w14:paraId="736E607E" w14:textId="2DB3FCC8" w:rsidR="00665875" w:rsidRPr="00B51F37" w:rsidRDefault="000414C3" w:rsidP="00B51F37">
      <w:pPr>
        <w:pStyle w:val="BodyText"/>
        <w:numPr>
          <w:ilvl w:val="0"/>
          <w:numId w:val="1"/>
        </w:numPr>
        <w:jc w:val="both"/>
        <w:rPr>
          <w:color w:val="002060"/>
          <w:sz w:val="22"/>
          <w:szCs w:val="22"/>
        </w:rPr>
      </w:pPr>
      <w:r w:rsidRPr="00B51F37">
        <w:rPr>
          <w:color w:val="002060"/>
          <w:sz w:val="22"/>
          <w:szCs w:val="22"/>
        </w:rPr>
        <w:t xml:space="preserve">There has also been an increase in the use of </w:t>
      </w:r>
      <w:r w:rsidR="00930289" w:rsidRPr="00B51F37">
        <w:rPr>
          <w:color w:val="002060"/>
          <w:sz w:val="22"/>
          <w:szCs w:val="22"/>
        </w:rPr>
        <w:t xml:space="preserve">Statement of Work arrangements which is specifically mentioned in the legislation. However, some agencies are entering into </w:t>
      </w:r>
      <w:r w:rsidR="000E1846" w:rsidRPr="00B51F37">
        <w:rPr>
          <w:color w:val="002060"/>
          <w:sz w:val="22"/>
          <w:szCs w:val="22"/>
        </w:rPr>
        <w:t>S</w:t>
      </w:r>
      <w:r w:rsidR="00930289" w:rsidRPr="00B51F37">
        <w:rPr>
          <w:color w:val="002060"/>
          <w:sz w:val="22"/>
          <w:szCs w:val="22"/>
        </w:rPr>
        <w:t xml:space="preserve">tatement of </w:t>
      </w:r>
      <w:r w:rsidR="000E1846" w:rsidRPr="00B51F37">
        <w:rPr>
          <w:color w:val="002060"/>
          <w:sz w:val="22"/>
          <w:szCs w:val="22"/>
        </w:rPr>
        <w:t>W</w:t>
      </w:r>
      <w:r w:rsidR="00930289" w:rsidRPr="00B51F37">
        <w:rPr>
          <w:color w:val="002060"/>
          <w:sz w:val="22"/>
          <w:szCs w:val="22"/>
        </w:rPr>
        <w:t>ork arrangements</w:t>
      </w:r>
      <w:r w:rsidR="004E0511" w:rsidRPr="00B51F37">
        <w:rPr>
          <w:color w:val="002060"/>
          <w:sz w:val="22"/>
          <w:szCs w:val="22"/>
        </w:rPr>
        <w:t>,</w:t>
      </w:r>
      <w:r w:rsidR="00930289" w:rsidRPr="00B51F37">
        <w:rPr>
          <w:color w:val="002060"/>
          <w:sz w:val="22"/>
          <w:szCs w:val="22"/>
        </w:rPr>
        <w:t xml:space="preserve"> even when their business model has traditionally been to provide temporary labour</w:t>
      </w:r>
      <w:r w:rsidR="004E0511" w:rsidRPr="00B51F37">
        <w:rPr>
          <w:color w:val="002060"/>
          <w:sz w:val="22"/>
          <w:szCs w:val="22"/>
        </w:rPr>
        <w:t>, as</w:t>
      </w:r>
      <w:r w:rsidR="00930289" w:rsidRPr="00B51F37">
        <w:rPr>
          <w:color w:val="002060"/>
          <w:sz w:val="22"/>
          <w:szCs w:val="22"/>
        </w:rPr>
        <w:t xml:space="preserve"> their clients have started to require this type of contract to minimise their IR35 risk.</w:t>
      </w:r>
      <w:r w:rsidR="00C47E1A" w:rsidRPr="00B51F37">
        <w:rPr>
          <w:color w:val="002060"/>
          <w:sz w:val="22"/>
          <w:szCs w:val="22"/>
        </w:rPr>
        <w:t xml:space="preserve"> This model requires agencies to extend their service </w:t>
      </w:r>
      <w:r w:rsidR="00C31577" w:rsidRPr="00B51F37">
        <w:rPr>
          <w:color w:val="002060"/>
          <w:sz w:val="22"/>
          <w:szCs w:val="22"/>
        </w:rPr>
        <w:t>offered</w:t>
      </w:r>
      <w:r w:rsidR="00C47E1A" w:rsidRPr="00B51F37">
        <w:rPr>
          <w:color w:val="002060"/>
          <w:sz w:val="22"/>
          <w:szCs w:val="22"/>
        </w:rPr>
        <w:t xml:space="preserve"> to their clients and they </w:t>
      </w:r>
      <w:r w:rsidR="00D933A3" w:rsidRPr="00B51F37">
        <w:rPr>
          <w:color w:val="002060"/>
          <w:sz w:val="22"/>
          <w:szCs w:val="22"/>
        </w:rPr>
        <w:t>are an</w:t>
      </w:r>
      <w:r w:rsidR="00C47E1A" w:rsidRPr="00B51F37">
        <w:rPr>
          <w:color w:val="002060"/>
          <w:sz w:val="22"/>
          <w:szCs w:val="22"/>
        </w:rPr>
        <w:t xml:space="preserve"> outsourced contractor or consultancy, where the hirer only pays on the achievement of certain milestones and deliveries . </w:t>
      </w:r>
      <w:r w:rsidR="00930289" w:rsidRPr="00B51F37">
        <w:rPr>
          <w:color w:val="002060"/>
          <w:sz w:val="22"/>
          <w:szCs w:val="22"/>
        </w:rPr>
        <w:t xml:space="preserve">A </w:t>
      </w:r>
      <w:r w:rsidR="00E9585B" w:rsidRPr="00B51F37">
        <w:rPr>
          <w:color w:val="002060"/>
          <w:sz w:val="22"/>
          <w:szCs w:val="22"/>
        </w:rPr>
        <w:t>St</w:t>
      </w:r>
      <w:r w:rsidR="00930289" w:rsidRPr="00B51F37">
        <w:rPr>
          <w:color w:val="002060"/>
          <w:sz w:val="22"/>
          <w:szCs w:val="22"/>
        </w:rPr>
        <w:t xml:space="preserve">atement of </w:t>
      </w:r>
      <w:r w:rsidR="00E9585B" w:rsidRPr="00B51F37">
        <w:rPr>
          <w:color w:val="002060"/>
          <w:sz w:val="22"/>
          <w:szCs w:val="22"/>
        </w:rPr>
        <w:t>W</w:t>
      </w:r>
      <w:r w:rsidR="00930289" w:rsidRPr="00B51F37">
        <w:rPr>
          <w:color w:val="002060"/>
          <w:sz w:val="22"/>
          <w:szCs w:val="22"/>
        </w:rPr>
        <w:t xml:space="preserve">ork </w:t>
      </w:r>
      <w:r w:rsidR="00E9585B" w:rsidRPr="00B51F37">
        <w:rPr>
          <w:color w:val="002060"/>
          <w:sz w:val="22"/>
          <w:szCs w:val="22"/>
        </w:rPr>
        <w:t>is</w:t>
      </w:r>
      <w:r w:rsidR="00C47E1A" w:rsidRPr="00B51F37">
        <w:rPr>
          <w:color w:val="002060"/>
          <w:sz w:val="22"/>
          <w:szCs w:val="22"/>
        </w:rPr>
        <w:t xml:space="preserve"> perceived to be</w:t>
      </w:r>
      <w:r w:rsidR="00930289" w:rsidRPr="00B51F37">
        <w:rPr>
          <w:color w:val="002060"/>
          <w:sz w:val="22"/>
          <w:szCs w:val="22"/>
        </w:rPr>
        <w:t xml:space="preserve"> a solution to potential IR35</w:t>
      </w:r>
      <w:r w:rsidR="00C31577" w:rsidRPr="00B51F37">
        <w:rPr>
          <w:color w:val="002060"/>
          <w:sz w:val="22"/>
          <w:szCs w:val="22"/>
        </w:rPr>
        <w:t xml:space="preserve"> risks</w:t>
      </w:r>
      <w:r w:rsidR="00930289" w:rsidRPr="00B51F37">
        <w:rPr>
          <w:color w:val="002060"/>
          <w:sz w:val="22"/>
          <w:szCs w:val="22"/>
        </w:rPr>
        <w:t xml:space="preserve"> by hiring self-</w:t>
      </w:r>
      <w:r w:rsidR="00930289" w:rsidRPr="00B51F37">
        <w:rPr>
          <w:color w:val="002060"/>
          <w:sz w:val="22"/>
          <w:szCs w:val="22"/>
        </w:rPr>
        <w:lastRenderedPageBreak/>
        <w:t>employed individuals and freelancers. The recruiter becomes the conduit – and eliminates the</w:t>
      </w:r>
      <w:r w:rsidR="00C47E1A" w:rsidRPr="00B51F37">
        <w:rPr>
          <w:color w:val="002060"/>
          <w:sz w:val="22"/>
          <w:szCs w:val="22"/>
        </w:rPr>
        <w:t xml:space="preserve"> client’s</w:t>
      </w:r>
      <w:r w:rsidR="00930289" w:rsidRPr="00B51F37">
        <w:rPr>
          <w:color w:val="002060"/>
          <w:sz w:val="22"/>
          <w:szCs w:val="22"/>
        </w:rPr>
        <w:t xml:space="preserve"> liability for increased tax and NI.  </w:t>
      </w:r>
    </w:p>
    <w:p w14:paraId="074C7D4F" w14:textId="77777777" w:rsidR="00B51F37" w:rsidRDefault="00B51F37" w:rsidP="00B51F37">
      <w:pPr>
        <w:autoSpaceDE w:val="0"/>
        <w:autoSpaceDN w:val="0"/>
        <w:adjustRightInd w:val="0"/>
        <w:jc w:val="both"/>
        <w:rPr>
          <w:rFonts w:ascii="Lato" w:hAnsi="Lato" w:cs="Arial"/>
          <w:b/>
          <w:color w:val="0D133D"/>
        </w:rPr>
      </w:pPr>
    </w:p>
    <w:p w14:paraId="0173BFD4" w14:textId="507A84FB" w:rsidR="008541B9" w:rsidRDefault="008541B9" w:rsidP="00B51F37">
      <w:pPr>
        <w:autoSpaceDE w:val="0"/>
        <w:autoSpaceDN w:val="0"/>
        <w:adjustRightInd w:val="0"/>
        <w:jc w:val="both"/>
        <w:rPr>
          <w:rFonts w:ascii="Lato" w:hAnsi="Lato" w:cs="Arial"/>
          <w:b/>
          <w:color w:val="0D133D"/>
        </w:rPr>
      </w:pPr>
      <w:r w:rsidRPr="008541B9">
        <w:rPr>
          <w:rFonts w:ascii="Lato" w:hAnsi="Lato" w:cs="Arial"/>
          <w:b/>
          <w:color w:val="0D133D"/>
        </w:rPr>
        <w:t>The Government is proposing a new employment body with powers to enforce employment rights, including for those engaged by agencies and umbrella companies. How effective do you think such a body will be in ensuring workers, particularly the lower paid, are treated fairly?</w:t>
      </w:r>
    </w:p>
    <w:p w14:paraId="2FA5870E" w14:textId="7C3AF9A7" w:rsidR="00671B30" w:rsidRPr="00B51F37" w:rsidRDefault="00671B30" w:rsidP="00B51F37">
      <w:pPr>
        <w:autoSpaceDE w:val="0"/>
        <w:autoSpaceDN w:val="0"/>
        <w:adjustRightInd w:val="0"/>
        <w:jc w:val="both"/>
        <w:rPr>
          <w:rFonts w:ascii="Lato" w:hAnsi="Lato" w:cs="Arial"/>
          <w:b/>
          <w:color w:val="002060"/>
        </w:rPr>
      </w:pPr>
    </w:p>
    <w:p w14:paraId="2B407C32" w14:textId="68403668" w:rsidR="00671B30" w:rsidRPr="00B51F37" w:rsidRDefault="00671B30" w:rsidP="00B51F37">
      <w:pPr>
        <w:pStyle w:val="ListParagraph"/>
        <w:numPr>
          <w:ilvl w:val="0"/>
          <w:numId w:val="1"/>
        </w:numPr>
        <w:autoSpaceDE w:val="0"/>
        <w:autoSpaceDN w:val="0"/>
        <w:adjustRightInd w:val="0"/>
        <w:jc w:val="both"/>
        <w:rPr>
          <w:rFonts w:ascii="Lato" w:hAnsi="Lato" w:cs="Arial"/>
          <w:bCs/>
          <w:color w:val="002060"/>
        </w:rPr>
      </w:pPr>
      <w:r w:rsidRPr="00B51F37">
        <w:rPr>
          <w:rFonts w:ascii="Lato" w:hAnsi="Lato" w:cs="Arial"/>
          <w:bCs/>
          <w:color w:val="002060"/>
        </w:rPr>
        <w:t>We welcomed the proposal to introduce a single enforcement body, but also highlighted several issues Government has to consider before the SEB is established through primary legislation. Firstly, to meet the compliance and enforcement priorities, the three agencies must have sufficient intelligence sharing, effective collaboration and clear guidance for workers and businesses.</w:t>
      </w:r>
    </w:p>
    <w:p w14:paraId="63E9517E" w14:textId="77777777" w:rsidR="00671B30" w:rsidRPr="00B51F37" w:rsidRDefault="00671B30" w:rsidP="00B51F37">
      <w:pPr>
        <w:autoSpaceDE w:val="0"/>
        <w:autoSpaceDN w:val="0"/>
        <w:adjustRightInd w:val="0"/>
        <w:jc w:val="both"/>
        <w:rPr>
          <w:rFonts w:ascii="Lato" w:hAnsi="Lato" w:cs="Arial"/>
          <w:bCs/>
          <w:color w:val="002060"/>
        </w:rPr>
      </w:pPr>
    </w:p>
    <w:p w14:paraId="7D886623" w14:textId="3ED79C0D" w:rsidR="00671B30" w:rsidRPr="00B51F37" w:rsidRDefault="00671B30" w:rsidP="00B51F37">
      <w:pPr>
        <w:pStyle w:val="ListParagraph"/>
        <w:numPr>
          <w:ilvl w:val="0"/>
          <w:numId w:val="1"/>
        </w:numPr>
        <w:autoSpaceDE w:val="0"/>
        <w:autoSpaceDN w:val="0"/>
        <w:adjustRightInd w:val="0"/>
        <w:jc w:val="both"/>
        <w:rPr>
          <w:rFonts w:ascii="Lato" w:hAnsi="Lato" w:cs="Arial"/>
          <w:bCs/>
          <w:color w:val="002060"/>
        </w:rPr>
      </w:pPr>
      <w:r w:rsidRPr="00B51F37">
        <w:rPr>
          <w:rFonts w:ascii="Lato" w:hAnsi="Lato" w:cs="Arial"/>
          <w:bCs/>
          <w:color w:val="002060"/>
        </w:rPr>
        <w:t xml:space="preserve">The SEB’s plans to tackle issues for workers and drive compliance across the whole labour market can only be done by considering the nuisances and differences in how agency workers provide their services. We maintain that there should not be a </w:t>
      </w:r>
      <w:r w:rsidR="00003D01" w:rsidRPr="00B51F37">
        <w:rPr>
          <w:rFonts w:ascii="Lato" w:hAnsi="Lato" w:cs="Arial"/>
          <w:bCs/>
          <w:color w:val="002060"/>
        </w:rPr>
        <w:t>"</w:t>
      </w:r>
      <w:r w:rsidRPr="00B51F37">
        <w:rPr>
          <w:rFonts w:ascii="Lato" w:hAnsi="Lato" w:cs="Arial"/>
          <w:bCs/>
          <w:color w:val="002060"/>
        </w:rPr>
        <w:t>one size fits all</w:t>
      </w:r>
      <w:r w:rsidR="00003D01" w:rsidRPr="00B51F37">
        <w:rPr>
          <w:rFonts w:ascii="Lato" w:hAnsi="Lato" w:cs="Arial"/>
          <w:bCs/>
          <w:color w:val="002060"/>
        </w:rPr>
        <w:t>"</w:t>
      </w:r>
      <w:r w:rsidRPr="00B51F37">
        <w:rPr>
          <w:rFonts w:ascii="Lato" w:hAnsi="Lato" w:cs="Arial"/>
          <w:bCs/>
          <w:color w:val="002060"/>
        </w:rPr>
        <w:t xml:space="preserve"> approach</w:t>
      </w:r>
      <w:r w:rsidR="00003D01" w:rsidRPr="00B51F37">
        <w:rPr>
          <w:rFonts w:ascii="Lato" w:hAnsi="Lato" w:cs="Arial"/>
          <w:bCs/>
          <w:color w:val="002060"/>
        </w:rPr>
        <w:t>,</w:t>
      </w:r>
      <w:r w:rsidRPr="00B51F37">
        <w:rPr>
          <w:rFonts w:ascii="Lato" w:hAnsi="Lato" w:cs="Arial"/>
          <w:bCs/>
          <w:color w:val="002060"/>
        </w:rPr>
        <w:t xml:space="preserve"> especially when dealing with holiday pay and statutory sick pay issues</w:t>
      </w:r>
      <w:r w:rsidR="00003D01" w:rsidRPr="00B51F37">
        <w:rPr>
          <w:rFonts w:ascii="Lato" w:hAnsi="Lato" w:cs="Arial"/>
          <w:bCs/>
          <w:color w:val="002060"/>
        </w:rPr>
        <w:t>,</w:t>
      </w:r>
      <w:r w:rsidRPr="00B51F37">
        <w:rPr>
          <w:rFonts w:ascii="Lato" w:hAnsi="Lato" w:cs="Arial"/>
          <w:bCs/>
          <w:color w:val="002060"/>
        </w:rPr>
        <w:t xml:space="preserve"> which is more complex for agency workers. We welcome government’s commitment to providing guidance to businesses on best practice and compliment the work already carried out by ACAS. </w:t>
      </w:r>
    </w:p>
    <w:p w14:paraId="658E8910" w14:textId="77777777" w:rsidR="008541B9" w:rsidRPr="00671B30" w:rsidRDefault="008541B9" w:rsidP="00B51F37">
      <w:pPr>
        <w:autoSpaceDE w:val="0"/>
        <w:autoSpaceDN w:val="0"/>
        <w:adjustRightInd w:val="0"/>
        <w:jc w:val="both"/>
        <w:rPr>
          <w:rFonts w:ascii="Lato" w:hAnsi="Lato" w:cs="Arial"/>
          <w:bCs/>
          <w:color w:val="0D133D"/>
        </w:rPr>
      </w:pPr>
    </w:p>
    <w:p w14:paraId="5092E827" w14:textId="23AB520E" w:rsidR="008541B9" w:rsidRDefault="008541B9" w:rsidP="00B51F37">
      <w:pPr>
        <w:autoSpaceDE w:val="0"/>
        <w:autoSpaceDN w:val="0"/>
        <w:adjustRightInd w:val="0"/>
        <w:jc w:val="both"/>
        <w:rPr>
          <w:rFonts w:ascii="Lato" w:hAnsi="Lato" w:cs="Arial"/>
          <w:b/>
          <w:color w:val="0D133D"/>
        </w:rPr>
      </w:pPr>
      <w:r w:rsidRPr="008541B9">
        <w:rPr>
          <w:rFonts w:ascii="Lato" w:hAnsi="Lato" w:cs="Arial"/>
          <w:b/>
          <w:color w:val="0D133D"/>
        </w:rPr>
        <w:t>How successful will the draft Finance Bill proposals for earlier publication of information about promoters and avoidance schemes be in protecting individuals from being drawn into such schemes?</w:t>
      </w:r>
    </w:p>
    <w:p w14:paraId="7E77B62E" w14:textId="77777777" w:rsidR="008D5FF9" w:rsidRPr="00B51F37" w:rsidRDefault="008D5FF9" w:rsidP="00B51F37">
      <w:pPr>
        <w:autoSpaceDE w:val="0"/>
        <w:autoSpaceDN w:val="0"/>
        <w:adjustRightInd w:val="0"/>
        <w:jc w:val="both"/>
        <w:rPr>
          <w:rFonts w:ascii="Lato" w:hAnsi="Lato" w:cs="Arial"/>
          <w:b/>
          <w:color w:val="002060"/>
        </w:rPr>
      </w:pPr>
    </w:p>
    <w:p w14:paraId="209ACD6D" w14:textId="4375A39C" w:rsidR="00EC156F" w:rsidRPr="00B51F37" w:rsidRDefault="008D5FF9" w:rsidP="00B51F37">
      <w:pPr>
        <w:pStyle w:val="ListParagraph"/>
        <w:numPr>
          <w:ilvl w:val="0"/>
          <w:numId w:val="1"/>
        </w:numPr>
        <w:autoSpaceDE w:val="0"/>
        <w:autoSpaceDN w:val="0"/>
        <w:adjustRightInd w:val="0"/>
        <w:jc w:val="both"/>
        <w:rPr>
          <w:rFonts w:ascii="Lato" w:hAnsi="Lato" w:cs="Arial"/>
          <w:bCs/>
          <w:color w:val="002060"/>
        </w:rPr>
      </w:pPr>
      <w:r w:rsidRPr="00B51F37">
        <w:rPr>
          <w:rFonts w:ascii="Lato" w:hAnsi="Lato" w:cs="Arial"/>
          <w:bCs/>
          <w:color w:val="002060"/>
        </w:rPr>
        <w:t>The Government consulted on draft legislation to implement measures that give HMRC the power to close down companies involved in promoting tax avoidance. The Government is right to be taking a robust approach to those who devise, promote or sell</w:t>
      </w:r>
      <w:r w:rsidR="00B51F37" w:rsidRPr="00B51F37">
        <w:rPr>
          <w:rFonts w:ascii="Lato" w:hAnsi="Lato" w:cs="Arial"/>
          <w:bCs/>
          <w:color w:val="002060"/>
        </w:rPr>
        <w:t xml:space="preserve"> </w:t>
      </w:r>
      <w:r w:rsidRPr="00B51F37">
        <w:rPr>
          <w:rFonts w:ascii="Lato" w:hAnsi="Lato" w:cs="Arial"/>
          <w:bCs/>
          <w:color w:val="002060"/>
        </w:rPr>
        <w:t>tax avoidance schemes. The REC welcomes this move, which will help taxpayers identify and steer clear of avoidance schemes by naming companies, including umbrella companies, which are under investigation by HMRC and controlled by promoters.</w:t>
      </w:r>
      <w:r w:rsidR="00B51F37" w:rsidRPr="00B51F37">
        <w:rPr>
          <w:rFonts w:ascii="Lato" w:hAnsi="Lato" w:cs="Arial"/>
          <w:bCs/>
          <w:color w:val="002060"/>
        </w:rPr>
        <w:t xml:space="preserve"> </w:t>
      </w:r>
      <w:r w:rsidR="00C44421" w:rsidRPr="00B51F37">
        <w:rPr>
          <w:rFonts w:ascii="Lato" w:hAnsi="Lato" w:cs="Arial"/>
          <w:bCs/>
          <w:color w:val="002060"/>
        </w:rPr>
        <w:t>However, as the legislation’s main focus is on promoters and trying to change taxpayers’ behaviour, this may not result in the much-needed outcome of effectively tackling tax avoidance. HMRC need more collaboration with relevant specialists to decide what further steps could be taken to prevent disguised remuneration and other tax avoidance schemes being used by employment intermediaries particularly umbrella companies. Again one of the most effective ways of reducing tax avoidance and improving compliance for umbrella companies is to bring them within the remit of the Employment Agency Standards Inspectorate (EASI) and they will be required to comply with Employment Agencies Act 1973 and the Conduct of Employment Agencies and Employment Businesses Regulations 2003.</w:t>
      </w:r>
    </w:p>
    <w:p w14:paraId="192DEC78" w14:textId="77777777" w:rsidR="00EC156F" w:rsidRPr="00EC156F" w:rsidRDefault="00EC156F" w:rsidP="00B51F37">
      <w:pPr>
        <w:pStyle w:val="ListParagraph"/>
        <w:autoSpaceDE w:val="0"/>
        <w:autoSpaceDN w:val="0"/>
        <w:adjustRightInd w:val="0"/>
        <w:jc w:val="both"/>
        <w:rPr>
          <w:rFonts w:ascii="Lato" w:hAnsi="Lato" w:cs="Arial"/>
          <w:bCs/>
          <w:color w:val="0D133D"/>
        </w:rPr>
      </w:pPr>
    </w:p>
    <w:p w14:paraId="49ADD388" w14:textId="7710D641" w:rsidR="00994B73" w:rsidRPr="00B51F37" w:rsidRDefault="00671B30" w:rsidP="00B51F37">
      <w:pPr>
        <w:jc w:val="both"/>
        <w:rPr>
          <w:rFonts w:ascii="Lato" w:hAnsi="Lato" w:cs="Arial"/>
          <w:color w:val="002060"/>
        </w:rPr>
      </w:pPr>
      <w:r w:rsidRPr="00B51F37">
        <w:rPr>
          <w:rFonts w:ascii="Lato" w:hAnsi="Lato" w:cs="Arial"/>
          <w:color w:val="002060"/>
        </w:rPr>
        <w:t>For fu</w:t>
      </w:r>
      <w:r w:rsidR="00C80771" w:rsidRPr="00B51F37">
        <w:rPr>
          <w:rFonts w:ascii="Lato" w:hAnsi="Lato" w:cs="Arial"/>
          <w:color w:val="002060"/>
        </w:rPr>
        <w:t>rther information on this submission please contact:</w:t>
      </w:r>
    </w:p>
    <w:p w14:paraId="2DC593A0" w14:textId="0FBD2444" w:rsidR="00C80771" w:rsidRDefault="00C80771" w:rsidP="00B51F37">
      <w:pPr>
        <w:jc w:val="both"/>
        <w:rPr>
          <w:rFonts w:ascii="Lato" w:hAnsi="Lato" w:cs="Arial"/>
          <w:color w:val="0D133D"/>
        </w:rPr>
      </w:pPr>
    </w:p>
    <w:p w14:paraId="14FB9AAE" w14:textId="47C0AA39" w:rsidR="00DC6B79" w:rsidRPr="00B51F37" w:rsidRDefault="000A166B" w:rsidP="00B51F37">
      <w:pPr>
        <w:jc w:val="both"/>
        <w:rPr>
          <w:rFonts w:ascii="Lato" w:hAnsi="Lato" w:cs="Arial"/>
          <w:color w:val="002060"/>
        </w:rPr>
      </w:pPr>
      <w:r w:rsidRPr="00B51F37">
        <w:rPr>
          <w:rFonts w:ascii="Lato" w:hAnsi="Lato" w:cs="Arial"/>
          <w:color w:val="002060"/>
        </w:rPr>
        <w:t>Bunmi Adefuye, Legal Advice Manager</w:t>
      </w:r>
    </w:p>
    <w:p w14:paraId="454F1FE1" w14:textId="4810FE60" w:rsidR="000A166B" w:rsidRPr="00DC6B79" w:rsidRDefault="00B51F37" w:rsidP="00B51F37">
      <w:pPr>
        <w:jc w:val="both"/>
        <w:rPr>
          <w:rFonts w:ascii="Lato" w:hAnsi="Lato" w:cs="Arial"/>
          <w:color w:val="0D133D"/>
        </w:rPr>
      </w:pPr>
      <w:hyperlink r:id="rId13" w:history="1">
        <w:r w:rsidR="000A166B" w:rsidRPr="00DA731B">
          <w:rPr>
            <w:rStyle w:val="Hyperlink"/>
            <w:rFonts w:ascii="Lato" w:hAnsi="Lato" w:cs="Arial"/>
          </w:rPr>
          <w:t>Bunmi.adefuye@rec.uk.com</w:t>
        </w:r>
      </w:hyperlink>
      <w:r w:rsidR="000A166B">
        <w:rPr>
          <w:rFonts w:ascii="Lato" w:hAnsi="Lato" w:cs="Arial"/>
          <w:color w:val="0D133D"/>
        </w:rPr>
        <w:t xml:space="preserve"> </w:t>
      </w:r>
    </w:p>
    <w:p w14:paraId="4705350E" w14:textId="77777777" w:rsidR="00225119" w:rsidRDefault="00225119" w:rsidP="00B51F37">
      <w:pPr>
        <w:jc w:val="both"/>
        <w:rPr>
          <w:rFonts w:ascii="Lato" w:hAnsi="Lato" w:cs="Arial"/>
          <w:color w:val="0D133D"/>
        </w:rPr>
      </w:pPr>
    </w:p>
    <w:p w14:paraId="2CE846AF" w14:textId="7CF11024" w:rsidR="00225119" w:rsidRPr="00B51F37" w:rsidRDefault="00225119" w:rsidP="00B51F37">
      <w:pPr>
        <w:jc w:val="both"/>
        <w:rPr>
          <w:rFonts w:ascii="Lato" w:hAnsi="Lato" w:cs="Arial"/>
          <w:color w:val="002060"/>
        </w:rPr>
      </w:pPr>
      <w:r w:rsidRPr="00B51F37">
        <w:rPr>
          <w:rFonts w:ascii="Lato" w:hAnsi="Lato" w:cs="Arial"/>
          <w:color w:val="002060"/>
        </w:rPr>
        <w:t xml:space="preserve">Samantha Beggs, Campaigns and Government Relations Manager </w:t>
      </w:r>
    </w:p>
    <w:p w14:paraId="65EC62EA" w14:textId="77777777" w:rsidR="00225119" w:rsidRDefault="00B51F37" w:rsidP="00B51F37">
      <w:pPr>
        <w:jc w:val="both"/>
        <w:rPr>
          <w:rFonts w:ascii="Lato" w:hAnsi="Lato" w:cs="Arial"/>
          <w:color w:val="0D133D"/>
        </w:rPr>
      </w:pPr>
      <w:hyperlink r:id="rId14" w:history="1">
        <w:r w:rsidR="00225119" w:rsidRPr="00DA731B">
          <w:rPr>
            <w:rStyle w:val="Hyperlink"/>
            <w:rFonts w:ascii="Lato" w:hAnsi="Lato" w:cs="Arial"/>
          </w:rPr>
          <w:t>sam.beggs@rec.uk.com</w:t>
        </w:r>
      </w:hyperlink>
    </w:p>
    <w:p w14:paraId="69197281" w14:textId="104AB27B" w:rsidR="00DC6B79" w:rsidRPr="00DC6B79" w:rsidRDefault="00DC6B79" w:rsidP="00B51F37">
      <w:pPr>
        <w:jc w:val="both"/>
        <w:rPr>
          <w:rFonts w:ascii="Lato" w:hAnsi="Lato" w:cs="Arial"/>
          <w:color w:val="0D133D"/>
        </w:rPr>
      </w:pPr>
    </w:p>
    <w:p w14:paraId="1CADD694" w14:textId="77777777" w:rsidR="00DC6B79" w:rsidRPr="00DC6B79" w:rsidRDefault="00DC6B79" w:rsidP="00B51F37">
      <w:pPr>
        <w:jc w:val="both"/>
        <w:rPr>
          <w:rFonts w:ascii="Lato" w:hAnsi="Lato" w:cs="Arial"/>
          <w:color w:val="0D133D"/>
        </w:rPr>
      </w:pPr>
    </w:p>
    <w:p w14:paraId="7D02D485" w14:textId="381D23E0" w:rsidR="00DC6B79" w:rsidRPr="00DC6B79" w:rsidRDefault="005C7086" w:rsidP="00B51F37">
      <w:pPr>
        <w:jc w:val="both"/>
        <w:rPr>
          <w:rFonts w:ascii="Lato" w:hAnsi="Lato" w:cs="Arial"/>
          <w:color w:val="0D133D"/>
        </w:rPr>
      </w:pPr>
      <w:r>
        <w:rPr>
          <w:rFonts w:ascii="Lato" w:hAnsi="Lato" w:cs="Arial"/>
          <w:b/>
          <w:bCs/>
          <w:noProof/>
          <w:color w:val="0D133D"/>
        </w:rPr>
        <w:lastRenderedPageBreak/>
        <w:drawing>
          <wp:anchor distT="0" distB="0" distL="114300" distR="114300" simplePos="0" relativeHeight="251668480" behindDoc="0" locked="0" layoutInCell="1" allowOverlap="1" wp14:anchorId="3112B8F4" wp14:editId="2376B73C">
            <wp:simplePos x="0" y="0"/>
            <wp:positionH relativeFrom="page">
              <wp:posOffset>11875</wp:posOffset>
            </wp:positionH>
            <wp:positionV relativeFrom="paragraph">
              <wp:posOffset>1243272</wp:posOffset>
            </wp:positionV>
            <wp:extent cx="7256202" cy="6232063"/>
            <wp:effectExtent l="0" t="0" r="190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64927" cy="62395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6B79" w:rsidRPr="00DC6B79">
        <w:rPr>
          <w:rFonts w:ascii="Lato" w:hAnsi="Lato"/>
          <w:noProof/>
        </w:rPr>
        <w:drawing>
          <wp:anchor distT="0" distB="0" distL="114300" distR="114300" simplePos="0" relativeHeight="251666432" behindDoc="0" locked="0" layoutInCell="1" allowOverlap="1" wp14:anchorId="5A1552B4" wp14:editId="2AC7701B">
            <wp:simplePos x="0" y="0"/>
            <wp:positionH relativeFrom="margin">
              <wp:posOffset>0</wp:posOffset>
            </wp:positionH>
            <wp:positionV relativeFrom="paragraph">
              <wp:posOffset>7708046</wp:posOffset>
            </wp:positionV>
            <wp:extent cx="5715000" cy="1021715"/>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715000" cy="1021715"/>
                    </a:xfrm>
                    <a:prstGeom prst="rect">
                      <a:avLst/>
                    </a:prstGeom>
                  </pic:spPr>
                </pic:pic>
              </a:graphicData>
            </a:graphic>
          </wp:anchor>
        </w:drawing>
      </w:r>
      <w:r w:rsidR="00DC6B79" w:rsidRPr="00DC6B79">
        <w:rPr>
          <w:rFonts w:ascii="Lato" w:hAnsi="Lato" w:cs="Arial"/>
          <w:b/>
          <w:bCs/>
          <w:color w:val="0D133D"/>
        </w:rPr>
        <w:t>The REC is the voice of the recruitment industry, speaking up for great recruiters. We drive standards and empower recruitment businesses to build better futures for their candidates and themselves. We are champions of an industry which is fundamental to the strength of the UK economy.</w:t>
      </w:r>
      <w:r w:rsidR="00DC6B79" w:rsidRPr="00DC6B79">
        <w:rPr>
          <w:rFonts w:ascii="Lato" w:hAnsi="Lato" w:cs="Arial"/>
          <w:color w:val="0D133D"/>
        </w:rPr>
        <w:t xml:space="preserve"> </w:t>
      </w:r>
      <w:r w:rsidR="00DC6B79" w:rsidRPr="00DC6B79">
        <w:rPr>
          <w:rFonts w:ascii="Lato" w:hAnsi="Lato" w:cs="Arial"/>
          <w:color w:val="5974D4"/>
        </w:rPr>
        <w:t>Find out more about the Recruitment &amp; Employment Confederation at www.rec.uk.com</w:t>
      </w:r>
    </w:p>
    <w:sectPr w:rsidR="00DC6B79" w:rsidRPr="00DC6B79" w:rsidSect="00AF1F67">
      <w:headerReference w:type="default" r:id="rId17"/>
      <w:footerReference w:type="default" r:id="rId18"/>
      <w:pgSz w:w="11906" w:h="16838"/>
      <w:pgMar w:top="1701" w:right="1466"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75571" w14:textId="77777777" w:rsidR="0054129D" w:rsidRDefault="0054129D">
      <w:r>
        <w:separator/>
      </w:r>
    </w:p>
  </w:endnote>
  <w:endnote w:type="continuationSeparator" w:id="0">
    <w:p w14:paraId="2162286E" w14:textId="77777777" w:rsidR="0054129D" w:rsidRDefault="00541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iss Medium">
    <w:altName w:val="Courier New"/>
    <w:charset w:val="00"/>
    <w:family w:val="auto"/>
    <w:pitch w:val="variable"/>
    <w:sig w:usb0="80000027" w:usb1="00000000" w:usb2="00000000" w:usb3="00000000" w:csb0="00000001" w:csb1="00000000"/>
  </w:font>
  <w:font w:name="Bliss Heavy">
    <w:altName w:val="Courier New"/>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ato">
    <w:altName w:val="Segoe UI"/>
    <w:panose1 w:val="020F0502020204030203"/>
    <w:charset w:val="4D"/>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0479302"/>
      <w:docPartObj>
        <w:docPartGallery w:val="Page Numbers (Bottom of Page)"/>
        <w:docPartUnique/>
      </w:docPartObj>
    </w:sdtPr>
    <w:sdtEndPr/>
    <w:sdtContent>
      <w:sdt>
        <w:sdtPr>
          <w:id w:val="1728636285"/>
          <w:docPartObj>
            <w:docPartGallery w:val="Page Numbers (Top of Page)"/>
            <w:docPartUnique/>
          </w:docPartObj>
        </w:sdtPr>
        <w:sdtEndPr/>
        <w:sdtContent>
          <w:p w14:paraId="520C0AEC" w14:textId="68B7ED4C" w:rsidR="0086412A" w:rsidRDefault="0086412A">
            <w:pPr>
              <w:pStyle w:val="Footer"/>
              <w:jc w:val="center"/>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1B64E3CB" w14:textId="2DE55574" w:rsidR="00936DA0" w:rsidRDefault="00936D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5A7F9" w14:textId="77777777" w:rsidR="0054129D" w:rsidRDefault="0054129D">
      <w:r>
        <w:separator/>
      </w:r>
    </w:p>
  </w:footnote>
  <w:footnote w:type="continuationSeparator" w:id="0">
    <w:p w14:paraId="3469CB1B" w14:textId="77777777" w:rsidR="0054129D" w:rsidRDefault="005412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FAEFB" w14:textId="1441F6D4" w:rsidR="00936DA0" w:rsidRPr="00A91070" w:rsidRDefault="00A91070" w:rsidP="00A91070">
    <w:pPr>
      <w:pStyle w:val="Header"/>
    </w:pPr>
    <w:r>
      <w:rPr>
        <w:noProof/>
      </w:rPr>
      <w:drawing>
        <wp:anchor distT="0" distB="0" distL="114300" distR="114300" simplePos="0" relativeHeight="251658752" behindDoc="0" locked="0" layoutInCell="1" allowOverlap="1" wp14:anchorId="52390D5D" wp14:editId="0CF366A0">
          <wp:simplePos x="0" y="0"/>
          <wp:positionH relativeFrom="column">
            <wp:posOffset>-491263</wp:posOffset>
          </wp:positionH>
          <wp:positionV relativeFrom="paragraph">
            <wp:posOffset>215157</wp:posOffset>
          </wp:positionV>
          <wp:extent cx="2173856" cy="628244"/>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3856" cy="62824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F1866"/>
    <w:multiLevelType w:val="hybridMultilevel"/>
    <w:tmpl w:val="55EA83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A764F2"/>
    <w:multiLevelType w:val="hybridMultilevel"/>
    <w:tmpl w:val="E422A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36210"/>
    <w:multiLevelType w:val="hybridMultilevel"/>
    <w:tmpl w:val="AF7C98F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BD239AF"/>
    <w:multiLevelType w:val="hybridMultilevel"/>
    <w:tmpl w:val="CEDC4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915748"/>
    <w:multiLevelType w:val="hybridMultilevel"/>
    <w:tmpl w:val="767AC7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206EF9"/>
    <w:multiLevelType w:val="hybridMultilevel"/>
    <w:tmpl w:val="2AE4B8F6"/>
    <w:lvl w:ilvl="0" w:tplc="08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25BB3FAA"/>
    <w:multiLevelType w:val="hybridMultilevel"/>
    <w:tmpl w:val="44AA7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A96F9D"/>
    <w:multiLevelType w:val="hybridMultilevel"/>
    <w:tmpl w:val="75DC01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C8C0A2A"/>
    <w:multiLevelType w:val="hybridMultilevel"/>
    <w:tmpl w:val="5344C5F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57162BF8"/>
    <w:multiLevelType w:val="hybridMultilevel"/>
    <w:tmpl w:val="FE3496F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376752A"/>
    <w:multiLevelType w:val="hybridMultilevel"/>
    <w:tmpl w:val="28FA8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2642BA"/>
    <w:multiLevelType w:val="hybridMultilevel"/>
    <w:tmpl w:val="262486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776E9B"/>
    <w:multiLevelType w:val="hybridMultilevel"/>
    <w:tmpl w:val="18DC20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8B6E32"/>
    <w:multiLevelType w:val="hybridMultilevel"/>
    <w:tmpl w:val="3E3A90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0972882"/>
    <w:multiLevelType w:val="multilevel"/>
    <w:tmpl w:val="0809001F"/>
    <w:lvl w:ilvl="0">
      <w:start w:val="1"/>
      <w:numFmt w:val="decimal"/>
      <w:lvlText w:val="%1."/>
      <w:lvlJc w:val="left"/>
      <w:pPr>
        <w:ind w:left="360" w:hanging="360"/>
      </w:pPr>
      <w:rPr>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92" w:hanging="432"/>
      </w:pPr>
      <w:rPr>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930" w:hanging="504"/>
      </w:pPr>
      <w:rPr>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28" w:hanging="648"/>
      </w:pPr>
      <w:rPr>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32" w:hanging="792"/>
      </w:pPr>
      <w:rPr>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6" w:hanging="936"/>
      </w:pPr>
      <w:rPr>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40" w:hanging="1080"/>
      </w:pPr>
      <w:rPr>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4" w:hanging="1224"/>
      </w:pPr>
      <w:rPr>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20" w:hanging="1440"/>
      </w:pPr>
      <w:rPr>
        <w:caps w:val="0"/>
        <w:smallCaps w:val="0"/>
        <w:strike w:val="0"/>
        <w:dstrike w:val="0"/>
        <w:outline w:val="0"/>
        <w:emboss w:val="0"/>
        <w:imprint w:val="0"/>
        <w:spacing w:val="0"/>
        <w:w w:val="100"/>
        <w:kern w:val="0"/>
        <w:position w:val="0"/>
        <w:highlight w:val="none"/>
        <w:vertAlign w:val="baseline"/>
      </w:rPr>
    </w:lvl>
  </w:abstractNum>
  <w:num w:numId="1">
    <w:abstractNumId w:val="11"/>
  </w:num>
  <w:num w:numId="2">
    <w:abstractNumId w:val="13"/>
  </w:num>
  <w:num w:numId="3">
    <w:abstractNumId w:val="12"/>
  </w:num>
  <w:num w:numId="4">
    <w:abstractNumId w:val="14"/>
  </w:num>
  <w:num w:numId="5">
    <w:abstractNumId w:val="3"/>
  </w:num>
  <w:num w:numId="6">
    <w:abstractNumId w:val="7"/>
  </w:num>
  <w:num w:numId="7">
    <w:abstractNumId w:val="1"/>
  </w:num>
  <w:num w:numId="8">
    <w:abstractNumId w:val="2"/>
  </w:num>
  <w:num w:numId="9">
    <w:abstractNumId w:val="10"/>
  </w:num>
  <w:num w:numId="10">
    <w:abstractNumId w:val="4"/>
  </w:num>
  <w:num w:numId="11">
    <w:abstractNumId w:val="9"/>
  </w:num>
  <w:num w:numId="12">
    <w:abstractNumId w:val="5"/>
  </w:num>
  <w:num w:numId="13">
    <w:abstractNumId w:val="6"/>
  </w:num>
  <w:num w:numId="14">
    <w:abstractNumId w:val="0"/>
  </w:num>
  <w:num w:numId="15">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colormru v:ext="edit" colors="#00a9ab"/>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F8F"/>
    <w:rsid w:val="00003D01"/>
    <w:rsid w:val="000041F9"/>
    <w:rsid w:val="000060CA"/>
    <w:rsid w:val="00011B22"/>
    <w:rsid w:val="00020555"/>
    <w:rsid w:val="00030C57"/>
    <w:rsid w:val="00033270"/>
    <w:rsid w:val="000341C7"/>
    <w:rsid w:val="00034C55"/>
    <w:rsid w:val="000414C3"/>
    <w:rsid w:val="0004353C"/>
    <w:rsid w:val="00043B65"/>
    <w:rsid w:val="0004683E"/>
    <w:rsid w:val="00052ADC"/>
    <w:rsid w:val="00055D5F"/>
    <w:rsid w:val="00056126"/>
    <w:rsid w:val="0008764E"/>
    <w:rsid w:val="000902DA"/>
    <w:rsid w:val="0009727C"/>
    <w:rsid w:val="000A166B"/>
    <w:rsid w:val="000A6DF5"/>
    <w:rsid w:val="000B2721"/>
    <w:rsid w:val="000B5B7E"/>
    <w:rsid w:val="000B7082"/>
    <w:rsid w:val="000C1649"/>
    <w:rsid w:val="000C2C46"/>
    <w:rsid w:val="000D6019"/>
    <w:rsid w:val="000D6317"/>
    <w:rsid w:val="000E1846"/>
    <w:rsid w:val="000F43B1"/>
    <w:rsid w:val="000F601E"/>
    <w:rsid w:val="001064BE"/>
    <w:rsid w:val="00115293"/>
    <w:rsid w:val="0012058D"/>
    <w:rsid w:val="00126873"/>
    <w:rsid w:val="00134090"/>
    <w:rsid w:val="00143041"/>
    <w:rsid w:val="00151C45"/>
    <w:rsid w:val="00154C6B"/>
    <w:rsid w:val="00155CDA"/>
    <w:rsid w:val="00155E20"/>
    <w:rsid w:val="00163CD2"/>
    <w:rsid w:val="00164421"/>
    <w:rsid w:val="001736A2"/>
    <w:rsid w:val="0018306C"/>
    <w:rsid w:val="0018652A"/>
    <w:rsid w:val="00187F8F"/>
    <w:rsid w:val="00190B91"/>
    <w:rsid w:val="00195803"/>
    <w:rsid w:val="00197B93"/>
    <w:rsid w:val="001A1D0C"/>
    <w:rsid w:val="001B7533"/>
    <w:rsid w:val="001C005C"/>
    <w:rsid w:val="001D029B"/>
    <w:rsid w:val="001D53F6"/>
    <w:rsid w:val="001E2032"/>
    <w:rsid w:val="001E470D"/>
    <w:rsid w:val="001F4C7D"/>
    <w:rsid w:val="001F6D2E"/>
    <w:rsid w:val="00202172"/>
    <w:rsid w:val="00206831"/>
    <w:rsid w:val="0021339B"/>
    <w:rsid w:val="00213A1B"/>
    <w:rsid w:val="00216CC0"/>
    <w:rsid w:val="002201FF"/>
    <w:rsid w:val="002220B4"/>
    <w:rsid w:val="00225119"/>
    <w:rsid w:val="002369F4"/>
    <w:rsid w:val="00251341"/>
    <w:rsid w:val="002529DF"/>
    <w:rsid w:val="00262605"/>
    <w:rsid w:val="0027115A"/>
    <w:rsid w:val="00281C0F"/>
    <w:rsid w:val="00282B58"/>
    <w:rsid w:val="00284337"/>
    <w:rsid w:val="00286C80"/>
    <w:rsid w:val="00287B8F"/>
    <w:rsid w:val="00296ED7"/>
    <w:rsid w:val="002A3710"/>
    <w:rsid w:val="002B2853"/>
    <w:rsid w:val="002B5B1B"/>
    <w:rsid w:val="002C1323"/>
    <w:rsid w:val="002C57D8"/>
    <w:rsid w:val="002D22F8"/>
    <w:rsid w:val="002D6A78"/>
    <w:rsid w:val="002E1D0E"/>
    <w:rsid w:val="002E2459"/>
    <w:rsid w:val="002E6145"/>
    <w:rsid w:val="002F10CE"/>
    <w:rsid w:val="002F3727"/>
    <w:rsid w:val="002F443D"/>
    <w:rsid w:val="0031546F"/>
    <w:rsid w:val="003158EC"/>
    <w:rsid w:val="00322A0D"/>
    <w:rsid w:val="00325303"/>
    <w:rsid w:val="00340EAD"/>
    <w:rsid w:val="003545D1"/>
    <w:rsid w:val="00360D4F"/>
    <w:rsid w:val="0036472A"/>
    <w:rsid w:val="00370CFF"/>
    <w:rsid w:val="003731EB"/>
    <w:rsid w:val="00373877"/>
    <w:rsid w:val="0037644C"/>
    <w:rsid w:val="00376A50"/>
    <w:rsid w:val="00381207"/>
    <w:rsid w:val="003827BE"/>
    <w:rsid w:val="0039282F"/>
    <w:rsid w:val="003A1622"/>
    <w:rsid w:val="003A5C5F"/>
    <w:rsid w:val="003A7B03"/>
    <w:rsid w:val="003B2C01"/>
    <w:rsid w:val="003B4DB8"/>
    <w:rsid w:val="003C113C"/>
    <w:rsid w:val="003C329C"/>
    <w:rsid w:val="003D505B"/>
    <w:rsid w:val="003D6BE5"/>
    <w:rsid w:val="003E1338"/>
    <w:rsid w:val="003F61FB"/>
    <w:rsid w:val="003F6E13"/>
    <w:rsid w:val="00402C6D"/>
    <w:rsid w:val="0040700F"/>
    <w:rsid w:val="00415855"/>
    <w:rsid w:val="00433346"/>
    <w:rsid w:val="00446614"/>
    <w:rsid w:val="00471714"/>
    <w:rsid w:val="00483C9D"/>
    <w:rsid w:val="00487A0B"/>
    <w:rsid w:val="0049064C"/>
    <w:rsid w:val="004949E1"/>
    <w:rsid w:val="004A2A63"/>
    <w:rsid w:val="004A76E0"/>
    <w:rsid w:val="004B472A"/>
    <w:rsid w:val="004C0E26"/>
    <w:rsid w:val="004C394F"/>
    <w:rsid w:val="004C6145"/>
    <w:rsid w:val="004E0511"/>
    <w:rsid w:val="004E34A0"/>
    <w:rsid w:val="004E493E"/>
    <w:rsid w:val="005002F8"/>
    <w:rsid w:val="005004B1"/>
    <w:rsid w:val="00512E7A"/>
    <w:rsid w:val="005204B3"/>
    <w:rsid w:val="0052543E"/>
    <w:rsid w:val="005273CD"/>
    <w:rsid w:val="00530FC5"/>
    <w:rsid w:val="00537F7B"/>
    <w:rsid w:val="0054129D"/>
    <w:rsid w:val="00552FB6"/>
    <w:rsid w:val="00556E47"/>
    <w:rsid w:val="0056173F"/>
    <w:rsid w:val="00561C8C"/>
    <w:rsid w:val="0059325B"/>
    <w:rsid w:val="005A2D21"/>
    <w:rsid w:val="005C19DC"/>
    <w:rsid w:val="005C57C1"/>
    <w:rsid w:val="005C7086"/>
    <w:rsid w:val="005C75B8"/>
    <w:rsid w:val="005D205A"/>
    <w:rsid w:val="005D781A"/>
    <w:rsid w:val="005F1257"/>
    <w:rsid w:val="005F6458"/>
    <w:rsid w:val="00622410"/>
    <w:rsid w:val="00644ABF"/>
    <w:rsid w:val="00650477"/>
    <w:rsid w:val="00665647"/>
    <w:rsid w:val="00665875"/>
    <w:rsid w:val="00671B30"/>
    <w:rsid w:val="00674C0A"/>
    <w:rsid w:val="00677A41"/>
    <w:rsid w:val="00685CA8"/>
    <w:rsid w:val="006A1F2C"/>
    <w:rsid w:val="006A21F1"/>
    <w:rsid w:val="006B78A2"/>
    <w:rsid w:val="006C1007"/>
    <w:rsid w:val="006C1B4C"/>
    <w:rsid w:val="006C4009"/>
    <w:rsid w:val="006D2CBE"/>
    <w:rsid w:val="006D34BC"/>
    <w:rsid w:val="006D71FE"/>
    <w:rsid w:val="006F6392"/>
    <w:rsid w:val="006F67EA"/>
    <w:rsid w:val="006F691F"/>
    <w:rsid w:val="007028B9"/>
    <w:rsid w:val="00707F3B"/>
    <w:rsid w:val="00713742"/>
    <w:rsid w:val="00720ED5"/>
    <w:rsid w:val="007244E5"/>
    <w:rsid w:val="0072698E"/>
    <w:rsid w:val="00730F9A"/>
    <w:rsid w:val="00731A09"/>
    <w:rsid w:val="007346CB"/>
    <w:rsid w:val="0073744E"/>
    <w:rsid w:val="007413A3"/>
    <w:rsid w:val="00741A6B"/>
    <w:rsid w:val="00747137"/>
    <w:rsid w:val="00747DC7"/>
    <w:rsid w:val="00751F8C"/>
    <w:rsid w:val="00753715"/>
    <w:rsid w:val="00755FCC"/>
    <w:rsid w:val="00777517"/>
    <w:rsid w:val="007927EF"/>
    <w:rsid w:val="007A656C"/>
    <w:rsid w:val="007B10DE"/>
    <w:rsid w:val="007B4B9C"/>
    <w:rsid w:val="007B536D"/>
    <w:rsid w:val="007C20FB"/>
    <w:rsid w:val="007C6EA5"/>
    <w:rsid w:val="00800841"/>
    <w:rsid w:val="008042EF"/>
    <w:rsid w:val="0080669D"/>
    <w:rsid w:val="0081031E"/>
    <w:rsid w:val="008237EC"/>
    <w:rsid w:val="008266F5"/>
    <w:rsid w:val="00832526"/>
    <w:rsid w:val="008539FE"/>
    <w:rsid w:val="008541B9"/>
    <w:rsid w:val="008557DD"/>
    <w:rsid w:val="0086412A"/>
    <w:rsid w:val="00864929"/>
    <w:rsid w:val="0086785F"/>
    <w:rsid w:val="00873D1A"/>
    <w:rsid w:val="00875572"/>
    <w:rsid w:val="00880A7C"/>
    <w:rsid w:val="00890B02"/>
    <w:rsid w:val="008A3773"/>
    <w:rsid w:val="008B31B3"/>
    <w:rsid w:val="008B5BFE"/>
    <w:rsid w:val="008C3298"/>
    <w:rsid w:val="008D5DCB"/>
    <w:rsid w:val="008D5FF9"/>
    <w:rsid w:val="008D7FAF"/>
    <w:rsid w:val="008E3F74"/>
    <w:rsid w:val="008F2CFC"/>
    <w:rsid w:val="00915BAB"/>
    <w:rsid w:val="00920756"/>
    <w:rsid w:val="00920A9C"/>
    <w:rsid w:val="009301AE"/>
    <w:rsid w:val="00930289"/>
    <w:rsid w:val="009321D7"/>
    <w:rsid w:val="00936DA0"/>
    <w:rsid w:val="00944803"/>
    <w:rsid w:val="0095726D"/>
    <w:rsid w:val="00960A91"/>
    <w:rsid w:val="009639CE"/>
    <w:rsid w:val="0096484C"/>
    <w:rsid w:val="00974E17"/>
    <w:rsid w:val="00982AAC"/>
    <w:rsid w:val="00986A33"/>
    <w:rsid w:val="00990435"/>
    <w:rsid w:val="00991405"/>
    <w:rsid w:val="00994B73"/>
    <w:rsid w:val="009A63AA"/>
    <w:rsid w:val="009B6373"/>
    <w:rsid w:val="009C5B70"/>
    <w:rsid w:val="009C704C"/>
    <w:rsid w:val="009D0C09"/>
    <w:rsid w:val="009D121C"/>
    <w:rsid w:val="009E1D0F"/>
    <w:rsid w:val="009E7B75"/>
    <w:rsid w:val="009F3FD6"/>
    <w:rsid w:val="00A020E0"/>
    <w:rsid w:val="00A175AC"/>
    <w:rsid w:val="00A22314"/>
    <w:rsid w:val="00A2514B"/>
    <w:rsid w:val="00A2529E"/>
    <w:rsid w:val="00A30DE0"/>
    <w:rsid w:val="00A43364"/>
    <w:rsid w:val="00A442A6"/>
    <w:rsid w:val="00A53392"/>
    <w:rsid w:val="00A54EC8"/>
    <w:rsid w:val="00A653AD"/>
    <w:rsid w:val="00A66671"/>
    <w:rsid w:val="00A77C5A"/>
    <w:rsid w:val="00A81803"/>
    <w:rsid w:val="00A86B9C"/>
    <w:rsid w:val="00A86F50"/>
    <w:rsid w:val="00A91070"/>
    <w:rsid w:val="00A92787"/>
    <w:rsid w:val="00AA1C30"/>
    <w:rsid w:val="00AA47C5"/>
    <w:rsid w:val="00AA4C73"/>
    <w:rsid w:val="00AA6AAE"/>
    <w:rsid w:val="00AB50BA"/>
    <w:rsid w:val="00AB6314"/>
    <w:rsid w:val="00AC51AB"/>
    <w:rsid w:val="00AE0F35"/>
    <w:rsid w:val="00AE3070"/>
    <w:rsid w:val="00AE4ACD"/>
    <w:rsid w:val="00AF1AAD"/>
    <w:rsid w:val="00AF1F67"/>
    <w:rsid w:val="00AF7931"/>
    <w:rsid w:val="00B05B7E"/>
    <w:rsid w:val="00B25B29"/>
    <w:rsid w:val="00B25E1E"/>
    <w:rsid w:val="00B51F37"/>
    <w:rsid w:val="00B87318"/>
    <w:rsid w:val="00B87A14"/>
    <w:rsid w:val="00BA7040"/>
    <w:rsid w:val="00BA77AC"/>
    <w:rsid w:val="00BB1B4B"/>
    <w:rsid w:val="00BC48E1"/>
    <w:rsid w:val="00BD39D1"/>
    <w:rsid w:val="00BE74A5"/>
    <w:rsid w:val="00BF2179"/>
    <w:rsid w:val="00BF4B5F"/>
    <w:rsid w:val="00BF55EF"/>
    <w:rsid w:val="00C015E7"/>
    <w:rsid w:val="00C029BF"/>
    <w:rsid w:val="00C0512E"/>
    <w:rsid w:val="00C12712"/>
    <w:rsid w:val="00C13E01"/>
    <w:rsid w:val="00C15A5F"/>
    <w:rsid w:val="00C23144"/>
    <w:rsid w:val="00C25B3D"/>
    <w:rsid w:val="00C301A5"/>
    <w:rsid w:val="00C314B7"/>
    <w:rsid w:val="00C31577"/>
    <w:rsid w:val="00C44421"/>
    <w:rsid w:val="00C47E1A"/>
    <w:rsid w:val="00C50D5D"/>
    <w:rsid w:val="00C52805"/>
    <w:rsid w:val="00C53413"/>
    <w:rsid w:val="00C54AF9"/>
    <w:rsid w:val="00C80771"/>
    <w:rsid w:val="00C9277C"/>
    <w:rsid w:val="00C93D3D"/>
    <w:rsid w:val="00CA05D5"/>
    <w:rsid w:val="00CA2043"/>
    <w:rsid w:val="00CB6AF9"/>
    <w:rsid w:val="00CC1BB5"/>
    <w:rsid w:val="00CC268D"/>
    <w:rsid w:val="00CC29CE"/>
    <w:rsid w:val="00CC450B"/>
    <w:rsid w:val="00CD1A30"/>
    <w:rsid w:val="00CE3621"/>
    <w:rsid w:val="00D00C64"/>
    <w:rsid w:val="00D0437C"/>
    <w:rsid w:val="00D21E23"/>
    <w:rsid w:val="00D223BA"/>
    <w:rsid w:val="00D36996"/>
    <w:rsid w:val="00D50533"/>
    <w:rsid w:val="00D71673"/>
    <w:rsid w:val="00D933A3"/>
    <w:rsid w:val="00DB5D83"/>
    <w:rsid w:val="00DB76C8"/>
    <w:rsid w:val="00DC6B79"/>
    <w:rsid w:val="00DD0DC4"/>
    <w:rsid w:val="00DE1C59"/>
    <w:rsid w:val="00DF5594"/>
    <w:rsid w:val="00E13359"/>
    <w:rsid w:val="00E36738"/>
    <w:rsid w:val="00E54831"/>
    <w:rsid w:val="00E614C1"/>
    <w:rsid w:val="00E63D16"/>
    <w:rsid w:val="00E75989"/>
    <w:rsid w:val="00E8742C"/>
    <w:rsid w:val="00E93C0F"/>
    <w:rsid w:val="00E9585B"/>
    <w:rsid w:val="00EA07D0"/>
    <w:rsid w:val="00EB01CE"/>
    <w:rsid w:val="00EC13AC"/>
    <w:rsid w:val="00EC156F"/>
    <w:rsid w:val="00EC5358"/>
    <w:rsid w:val="00EC7E3A"/>
    <w:rsid w:val="00ED234A"/>
    <w:rsid w:val="00ED6BA3"/>
    <w:rsid w:val="00ED775D"/>
    <w:rsid w:val="00EE353B"/>
    <w:rsid w:val="00EE49EB"/>
    <w:rsid w:val="00EF3B39"/>
    <w:rsid w:val="00EF617D"/>
    <w:rsid w:val="00EF7CD4"/>
    <w:rsid w:val="00F00F7A"/>
    <w:rsid w:val="00F03A6F"/>
    <w:rsid w:val="00F10868"/>
    <w:rsid w:val="00F35131"/>
    <w:rsid w:val="00F40EF6"/>
    <w:rsid w:val="00F470D6"/>
    <w:rsid w:val="00F705F1"/>
    <w:rsid w:val="00F70CAD"/>
    <w:rsid w:val="00F73B95"/>
    <w:rsid w:val="00F831AA"/>
    <w:rsid w:val="00F955FE"/>
    <w:rsid w:val="00FB1C9C"/>
    <w:rsid w:val="00FB42BE"/>
    <w:rsid w:val="00FB4FC3"/>
    <w:rsid w:val="00FB56A0"/>
    <w:rsid w:val="00FC66F5"/>
    <w:rsid w:val="00FE0E9B"/>
    <w:rsid w:val="00FF2CEF"/>
    <w:rsid w:val="00FF41E7"/>
    <w:rsid w:val="00FF70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a9ab"/>
    </o:shapedefaults>
    <o:shapelayout v:ext="edit">
      <o:idmap v:ext="edit" data="2"/>
    </o:shapelayout>
  </w:shapeDefaults>
  <w:decimalSymbol w:val="."/>
  <w:listSeparator w:val=","/>
  <w14:docId w14:val="59EDCC7B"/>
  <w15:docId w15:val="{30AD9250-EAB7-4137-8751-A115892B5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02DA"/>
    <w:rPr>
      <w:rFonts w:ascii="Bliss Medium" w:hAnsi="Bliss Medium"/>
      <w:color w:val="000000" w:themeColor="text1"/>
      <w:sz w:val="22"/>
      <w:szCs w:val="24"/>
    </w:rPr>
  </w:style>
  <w:style w:type="paragraph" w:styleId="Heading1">
    <w:name w:val="heading 1"/>
    <w:basedOn w:val="Normal"/>
    <w:next w:val="Normal"/>
    <w:link w:val="Heading1Char"/>
    <w:qFormat/>
    <w:rsid w:val="00C015E7"/>
    <w:pPr>
      <w:keepNext/>
      <w:spacing w:before="240" w:after="60"/>
      <w:outlineLvl w:val="0"/>
    </w:pPr>
    <w:rPr>
      <w:rFonts w:ascii="Bliss Heavy" w:eastAsiaTheme="majorEastAsia" w:hAnsi="Bliss Heavy" w:cstheme="majorBidi"/>
      <w:bCs/>
      <w:color w:val="009999"/>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8306C"/>
    <w:pPr>
      <w:tabs>
        <w:tab w:val="center" w:pos="4153"/>
        <w:tab w:val="right" w:pos="8306"/>
      </w:tabs>
    </w:pPr>
  </w:style>
  <w:style w:type="paragraph" w:styleId="Footer">
    <w:name w:val="footer"/>
    <w:basedOn w:val="Normal"/>
    <w:link w:val="FooterChar"/>
    <w:uiPriority w:val="99"/>
    <w:rsid w:val="0018306C"/>
    <w:pPr>
      <w:tabs>
        <w:tab w:val="center" w:pos="4153"/>
        <w:tab w:val="right" w:pos="8306"/>
      </w:tabs>
    </w:pPr>
  </w:style>
  <w:style w:type="character" w:styleId="Emphasis">
    <w:name w:val="Emphasis"/>
    <w:basedOn w:val="DefaultParagraphFont"/>
    <w:qFormat/>
    <w:rsid w:val="00C015E7"/>
    <w:rPr>
      <w:i/>
      <w:iCs/>
    </w:rPr>
  </w:style>
  <w:style w:type="character" w:customStyle="1" w:styleId="Heading1Char">
    <w:name w:val="Heading 1 Char"/>
    <w:basedOn w:val="DefaultParagraphFont"/>
    <w:link w:val="Heading1"/>
    <w:rsid w:val="00C015E7"/>
    <w:rPr>
      <w:rFonts w:ascii="Bliss Heavy" w:eastAsiaTheme="majorEastAsia" w:hAnsi="Bliss Heavy" w:cstheme="majorBidi"/>
      <w:bCs/>
      <w:color w:val="009999"/>
      <w:kern w:val="32"/>
      <w:sz w:val="32"/>
      <w:szCs w:val="32"/>
    </w:rPr>
  </w:style>
  <w:style w:type="character" w:styleId="Strong">
    <w:name w:val="Strong"/>
    <w:basedOn w:val="DefaultParagraphFont"/>
    <w:uiPriority w:val="22"/>
    <w:qFormat/>
    <w:rsid w:val="00C015E7"/>
    <w:rPr>
      <w:rFonts w:ascii="Bliss Medium" w:hAnsi="Bliss Medium"/>
      <w:b w:val="0"/>
      <w:bCs/>
      <w:color w:val="002060"/>
      <w:sz w:val="24"/>
    </w:rPr>
  </w:style>
  <w:style w:type="paragraph" w:styleId="BalloonText">
    <w:name w:val="Balloon Text"/>
    <w:basedOn w:val="Normal"/>
    <w:link w:val="BalloonTextChar"/>
    <w:rsid w:val="00C54AF9"/>
    <w:rPr>
      <w:rFonts w:ascii="Tahoma" w:hAnsi="Tahoma" w:cs="Tahoma"/>
      <w:sz w:val="16"/>
      <w:szCs w:val="16"/>
    </w:rPr>
  </w:style>
  <w:style w:type="character" w:customStyle="1" w:styleId="BalloonTextChar">
    <w:name w:val="Balloon Text Char"/>
    <w:basedOn w:val="DefaultParagraphFont"/>
    <w:link w:val="BalloonText"/>
    <w:rsid w:val="00C54AF9"/>
    <w:rPr>
      <w:rFonts w:ascii="Tahoma" w:hAnsi="Tahoma" w:cs="Tahoma"/>
      <w:color w:val="000000" w:themeColor="text1"/>
      <w:sz w:val="16"/>
      <w:szCs w:val="16"/>
    </w:rPr>
  </w:style>
  <w:style w:type="paragraph" w:styleId="PlainText">
    <w:name w:val="Plain Text"/>
    <w:basedOn w:val="Normal"/>
    <w:link w:val="PlainTextChar"/>
    <w:uiPriority w:val="99"/>
    <w:unhideWhenUsed/>
    <w:rsid w:val="00C54AF9"/>
    <w:rPr>
      <w:rFonts w:ascii="Calibri" w:eastAsiaTheme="minorHAnsi" w:hAnsi="Calibri" w:cstheme="minorBidi"/>
      <w:color w:val="auto"/>
      <w:szCs w:val="21"/>
      <w:lang w:eastAsia="en-US"/>
    </w:rPr>
  </w:style>
  <w:style w:type="character" w:customStyle="1" w:styleId="PlainTextChar">
    <w:name w:val="Plain Text Char"/>
    <w:basedOn w:val="DefaultParagraphFont"/>
    <w:link w:val="PlainText"/>
    <w:uiPriority w:val="99"/>
    <w:rsid w:val="00C54AF9"/>
    <w:rPr>
      <w:rFonts w:ascii="Calibri" w:eastAsiaTheme="minorHAnsi" w:hAnsi="Calibri" w:cstheme="minorBidi"/>
      <w:sz w:val="22"/>
      <w:szCs w:val="21"/>
      <w:lang w:eastAsia="en-US"/>
    </w:rPr>
  </w:style>
  <w:style w:type="paragraph" w:styleId="ListParagraph">
    <w:name w:val="List Paragraph"/>
    <w:basedOn w:val="Normal"/>
    <w:uiPriority w:val="34"/>
    <w:qFormat/>
    <w:rsid w:val="007C6EA5"/>
    <w:pPr>
      <w:ind w:left="720"/>
      <w:contextualSpacing/>
    </w:pPr>
  </w:style>
  <w:style w:type="paragraph" w:styleId="FootnoteText">
    <w:name w:val="footnote text"/>
    <w:basedOn w:val="Normal"/>
    <w:link w:val="FootnoteTextChar"/>
    <w:uiPriority w:val="99"/>
    <w:semiHidden/>
    <w:unhideWhenUsed/>
    <w:rsid w:val="0095726D"/>
    <w:rPr>
      <w:rFonts w:asciiTheme="minorHAnsi" w:eastAsiaTheme="minorHAnsi" w:hAnsiTheme="minorHAnsi" w:cstheme="minorBidi"/>
      <w:color w:val="auto"/>
      <w:sz w:val="20"/>
      <w:szCs w:val="20"/>
      <w:lang w:eastAsia="en-US"/>
    </w:rPr>
  </w:style>
  <w:style w:type="character" w:customStyle="1" w:styleId="FootnoteTextChar">
    <w:name w:val="Footnote Text Char"/>
    <w:basedOn w:val="DefaultParagraphFont"/>
    <w:link w:val="FootnoteText"/>
    <w:uiPriority w:val="99"/>
    <w:semiHidden/>
    <w:rsid w:val="0095726D"/>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95726D"/>
    <w:rPr>
      <w:vertAlign w:val="superscript"/>
    </w:rPr>
  </w:style>
  <w:style w:type="character" w:styleId="Hyperlink">
    <w:name w:val="Hyperlink"/>
    <w:basedOn w:val="DefaultParagraphFont"/>
    <w:uiPriority w:val="99"/>
    <w:unhideWhenUsed/>
    <w:rsid w:val="0095726D"/>
    <w:rPr>
      <w:color w:val="0000FF" w:themeColor="hyperlink"/>
      <w:u w:val="single"/>
    </w:rPr>
  </w:style>
  <w:style w:type="paragraph" w:styleId="NormalWeb">
    <w:name w:val="Normal (Web)"/>
    <w:basedOn w:val="Normal"/>
    <w:uiPriority w:val="99"/>
    <w:unhideWhenUsed/>
    <w:rsid w:val="00BD39D1"/>
    <w:rPr>
      <w:rFonts w:ascii="Times New Roman" w:hAnsi="Times New Roman"/>
      <w:sz w:val="24"/>
    </w:rPr>
  </w:style>
  <w:style w:type="table" w:styleId="TableGrid">
    <w:name w:val="Table Grid"/>
    <w:basedOn w:val="TableNormal"/>
    <w:rsid w:val="00A86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D53F6"/>
    <w:rPr>
      <w:sz w:val="16"/>
      <w:szCs w:val="16"/>
    </w:rPr>
  </w:style>
  <w:style w:type="paragraph" w:styleId="CommentText">
    <w:name w:val="annotation text"/>
    <w:basedOn w:val="Normal"/>
    <w:link w:val="CommentTextChar"/>
    <w:uiPriority w:val="99"/>
    <w:semiHidden/>
    <w:unhideWhenUsed/>
    <w:rsid w:val="001D53F6"/>
    <w:rPr>
      <w:sz w:val="20"/>
      <w:szCs w:val="20"/>
    </w:rPr>
  </w:style>
  <w:style w:type="character" w:customStyle="1" w:styleId="CommentTextChar">
    <w:name w:val="Comment Text Char"/>
    <w:basedOn w:val="DefaultParagraphFont"/>
    <w:link w:val="CommentText"/>
    <w:uiPriority w:val="99"/>
    <w:semiHidden/>
    <w:rsid w:val="001D53F6"/>
    <w:rPr>
      <w:rFonts w:ascii="Bliss Medium" w:hAnsi="Bliss Medium"/>
      <w:color w:val="000000" w:themeColor="text1"/>
    </w:rPr>
  </w:style>
  <w:style w:type="paragraph" w:styleId="CommentSubject">
    <w:name w:val="annotation subject"/>
    <w:basedOn w:val="CommentText"/>
    <w:next w:val="CommentText"/>
    <w:link w:val="CommentSubjectChar"/>
    <w:semiHidden/>
    <w:unhideWhenUsed/>
    <w:rsid w:val="001D53F6"/>
    <w:rPr>
      <w:b/>
      <w:bCs/>
    </w:rPr>
  </w:style>
  <w:style w:type="character" w:customStyle="1" w:styleId="CommentSubjectChar">
    <w:name w:val="Comment Subject Char"/>
    <w:basedOn w:val="CommentTextChar"/>
    <w:link w:val="CommentSubject"/>
    <w:semiHidden/>
    <w:rsid w:val="001D53F6"/>
    <w:rPr>
      <w:rFonts w:ascii="Bliss Medium" w:hAnsi="Bliss Medium"/>
      <w:b/>
      <w:bCs/>
      <w:color w:val="000000" w:themeColor="text1"/>
    </w:rPr>
  </w:style>
  <w:style w:type="paragraph" w:styleId="Revision">
    <w:name w:val="Revision"/>
    <w:hidden/>
    <w:uiPriority w:val="99"/>
    <w:semiHidden/>
    <w:rsid w:val="001D53F6"/>
    <w:rPr>
      <w:rFonts w:ascii="Bliss Medium" w:hAnsi="Bliss Medium"/>
      <w:color w:val="000000" w:themeColor="text1"/>
      <w:sz w:val="22"/>
      <w:szCs w:val="24"/>
    </w:rPr>
  </w:style>
  <w:style w:type="paragraph" w:customStyle="1" w:styleId="Normal1">
    <w:name w:val="Normal1"/>
    <w:rsid w:val="003A7B03"/>
    <w:rPr>
      <w:rFonts w:ascii="Arial" w:eastAsia="Arial" w:hAnsi="Arial" w:cs="Arial"/>
      <w:sz w:val="24"/>
      <w:szCs w:val="24"/>
      <w:lang w:eastAsia="en-US"/>
    </w:rPr>
  </w:style>
  <w:style w:type="character" w:styleId="FollowedHyperlink">
    <w:name w:val="FollowedHyperlink"/>
    <w:basedOn w:val="DefaultParagraphFont"/>
    <w:semiHidden/>
    <w:unhideWhenUsed/>
    <w:rsid w:val="003A7B03"/>
    <w:rPr>
      <w:color w:val="800080" w:themeColor="followedHyperlink"/>
      <w:u w:val="single"/>
    </w:rPr>
  </w:style>
  <w:style w:type="character" w:styleId="UnresolvedMention">
    <w:name w:val="Unresolved Mention"/>
    <w:basedOn w:val="DefaultParagraphFont"/>
    <w:uiPriority w:val="99"/>
    <w:semiHidden/>
    <w:unhideWhenUsed/>
    <w:rsid w:val="00DC6B79"/>
    <w:rPr>
      <w:color w:val="605E5C"/>
      <w:shd w:val="clear" w:color="auto" w:fill="E1DFDD"/>
    </w:rPr>
  </w:style>
  <w:style w:type="character" w:customStyle="1" w:styleId="FooterChar">
    <w:name w:val="Footer Char"/>
    <w:basedOn w:val="DefaultParagraphFont"/>
    <w:link w:val="Footer"/>
    <w:uiPriority w:val="99"/>
    <w:rsid w:val="0086412A"/>
    <w:rPr>
      <w:rFonts w:ascii="Bliss Medium" w:hAnsi="Bliss Medium"/>
      <w:color w:val="000000" w:themeColor="text1"/>
      <w:sz w:val="22"/>
      <w:szCs w:val="24"/>
    </w:rPr>
  </w:style>
  <w:style w:type="paragraph" w:customStyle="1" w:styleId="Default">
    <w:name w:val="Default"/>
    <w:rsid w:val="00A53392"/>
    <w:pPr>
      <w:pBdr>
        <w:top w:val="nil"/>
        <w:left w:val="nil"/>
        <w:bottom w:val="nil"/>
        <w:right w:val="nil"/>
        <w:between w:val="nil"/>
        <w:bar w:val="nil"/>
      </w:pBdr>
    </w:pPr>
    <w:rPr>
      <w:rFonts w:ascii="Arial" w:eastAsia="Arial Unicode MS" w:hAnsi="Arial" w:cs="Arial Unicode MS"/>
      <w:color w:val="000000"/>
      <w:sz w:val="24"/>
      <w:szCs w:val="24"/>
      <w:u w:color="000000"/>
      <w:bdr w:val="nil"/>
      <w:lang w:val="en-US"/>
    </w:rPr>
  </w:style>
  <w:style w:type="paragraph" w:styleId="BodyText">
    <w:name w:val="Body Text"/>
    <w:basedOn w:val="Normal"/>
    <w:link w:val="BodyTextChar"/>
    <w:qFormat/>
    <w:rsid w:val="00674C0A"/>
    <w:rPr>
      <w:rFonts w:ascii="Lato" w:eastAsiaTheme="minorHAnsi" w:hAnsi="Lato" w:cstheme="minorBidi"/>
      <w:color w:val="auto"/>
      <w:sz w:val="20"/>
      <w:szCs w:val="20"/>
      <w:lang w:eastAsia="en-US"/>
      <w14:ligatures w14:val="standard"/>
    </w:rPr>
  </w:style>
  <w:style w:type="character" w:customStyle="1" w:styleId="BodyTextChar">
    <w:name w:val="Body Text Char"/>
    <w:basedOn w:val="DefaultParagraphFont"/>
    <w:link w:val="BodyText"/>
    <w:rsid w:val="00674C0A"/>
    <w:rPr>
      <w:rFonts w:ascii="Lato" w:eastAsiaTheme="minorHAnsi" w:hAnsi="Lato" w:cstheme="minorBidi"/>
      <w:lang w:eastAsia="en-US"/>
      <w14:ligatures w14:val="standard"/>
    </w:rPr>
  </w:style>
  <w:style w:type="table" w:customStyle="1" w:styleId="RECtable1">
    <w:name w:val="REC_table1"/>
    <w:basedOn w:val="TableNormal"/>
    <w:uiPriority w:val="99"/>
    <w:rsid w:val="004C0E26"/>
    <w:rPr>
      <w:rFonts w:asciiTheme="minorHAnsi" w:eastAsiaTheme="minorHAnsi" w:hAnsiTheme="minorHAnsi" w:cstheme="minorBidi"/>
      <w:color w:val="191919" w:themeColor="text1" w:themeTint="E6"/>
      <w:szCs w:val="22"/>
      <w:lang w:eastAsia="en-US"/>
    </w:rPr>
    <w:tblPr>
      <w:tblBorders>
        <w:top w:val="single" w:sz="4" w:space="0" w:color="FFFFFF" w:themeColor="background1" w:themeTint="99"/>
        <w:left w:val="single" w:sz="4" w:space="0" w:color="FFFFFF" w:themeColor="background1" w:themeTint="99"/>
        <w:bottom w:val="single" w:sz="4" w:space="0" w:color="FFFFFF" w:themeColor="background1" w:themeTint="99"/>
        <w:right w:val="single" w:sz="4" w:space="0" w:color="FFFFFF" w:themeColor="background1" w:themeTint="99"/>
        <w:insideH w:val="single" w:sz="4" w:space="0" w:color="FFFFFF" w:themeColor="background1" w:themeTint="99"/>
        <w:insideV w:val="single" w:sz="4" w:space="0" w:color="FFFFFF" w:themeColor="background1" w:themeTint="99"/>
      </w:tblBorders>
    </w:tblPr>
    <w:tcPr>
      <w:tcMar>
        <w:top w:w="113" w:type="dxa"/>
        <w:left w:w="85" w:type="dxa"/>
        <w:bottom w:w="113" w:type="dxa"/>
        <w:right w:w="85" w:type="dxa"/>
      </w:tcMar>
    </w:tcPr>
    <w:tblStylePr w:type="firstRow">
      <w:rPr>
        <w:rFonts w:ascii="Lato" w:hAnsi="Lato"/>
        <w:b/>
        <w:sz w:val="22"/>
      </w:rPr>
      <w:tblPr/>
      <w:tcPr>
        <w:tcBorders>
          <w:top w:val="single" w:sz="4" w:space="0" w:color="FFFFFF" w:themeColor="background1" w:themeTint="99"/>
          <w:left w:val="single" w:sz="4" w:space="0" w:color="FFFFFF" w:themeColor="background1" w:themeTint="99"/>
          <w:bottom w:val="single" w:sz="4" w:space="0" w:color="FFFFFF" w:themeColor="background1" w:themeTint="99"/>
          <w:right w:val="single" w:sz="4" w:space="0" w:color="FFFFFF" w:themeColor="background1" w:themeTint="99"/>
          <w:insideH w:val="single" w:sz="4" w:space="0" w:color="FFFFFF" w:themeColor="background1" w:themeTint="99"/>
          <w:insideV w:val="single" w:sz="4" w:space="0" w:color="FFFFFF" w:themeColor="background1" w:themeTint="99"/>
          <w:tl2br w:val="nil"/>
          <w:tr2bl w:val="nil"/>
        </w:tcBorders>
        <w:shd w:val="clear" w:color="auto" w:fill="FFFFFF" w:themeFill="background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9662">
      <w:bodyDiv w:val="1"/>
      <w:marLeft w:val="0"/>
      <w:marRight w:val="0"/>
      <w:marTop w:val="0"/>
      <w:marBottom w:val="0"/>
      <w:divBdr>
        <w:top w:val="none" w:sz="0" w:space="0" w:color="auto"/>
        <w:left w:val="none" w:sz="0" w:space="0" w:color="auto"/>
        <w:bottom w:val="none" w:sz="0" w:space="0" w:color="auto"/>
        <w:right w:val="none" w:sz="0" w:space="0" w:color="auto"/>
      </w:divBdr>
    </w:div>
    <w:div w:id="208810483">
      <w:bodyDiv w:val="1"/>
      <w:marLeft w:val="0"/>
      <w:marRight w:val="0"/>
      <w:marTop w:val="0"/>
      <w:marBottom w:val="0"/>
      <w:divBdr>
        <w:top w:val="none" w:sz="0" w:space="0" w:color="auto"/>
        <w:left w:val="none" w:sz="0" w:space="0" w:color="auto"/>
        <w:bottom w:val="none" w:sz="0" w:space="0" w:color="auto"/>
        <w:right w:val="none" w:sz="0" w:space="0" w:color="auto"/>
      </w:divBdr>
    </w:div>
    <w:div w:id="359940622">
      <w:bodyDiv w:val="1"/>
      <w:marLeft w:val="0"/>
      <w:marRight w:val="0"/>
      <w:marTop w:val="0"/>
      <w:marBottom w:val="0"/>
      <w:divBdr>
        <w:top w:val="none" w:sz="0" w:space="0" w:color="auto"/>
        <w:left w:val="none" w:sz="0" w:space="0" w:color="auto"/>
        <w:bottom w:val="none" w:sz="0" w:space="0" w:color="auto"/>
        <w:right w:val="none" w:sz="0" w:space="0" w:color="auto"/>
      </w:divBdr>
    </w:div>
    <w:div w:id="419563882">
      <w:bodyDiv w:val="1"/>
      <w:marLeft w:val="0"/>
      <w:marRight w:val="0"/>
      <w:marTop w:val="0"/>
      <w:marBottom w:val="0"/>
      <w:divBdr>
        <w:top w:val="none" w:sz="0" w:space="0" w:color="auto"/>
        <w:left w:val="none" w:sz="0" w:space="0" w:color="auto"/>
        <w:bottom w:val="none" w:sz="0" w:space="0" w:color="auto"/>
        <w:right w:val="none" w:sz="0" w:space="0" w:color="auto"/>
      </w:divBdr>
    </w:div>
    <w:div w:id="717510898">
      <w:bodyDiv w:val="1"/>
      <w:marLeft w:val="0"/>
      <w:marRight w:val="0"/>
      <w:marTop w:val="0"/>
      <w:marBottom w:val="0"/>
      <w:divBdr>
        <w:top w:val="none" w:sz="0" w:space="0" w:color="auto"/>
        <w:left w:val="none" w:sz="0" w:space="0" w:color="auto"/>
        <w:bottom w:val="none" w:sz="0" w:space="0" w:color="auto"/>
        <w:right w:val="none" w:sz="0" w:space="0" w:color="auto"/>
      </w:divBdr>
    </w:div>
    <w:div w:id="904995820">
      <w:bodyDiv w:val="1"/>
      <w:marLeft w:val="0"/>
      <w:marRight w:val="0"/>
      <w:marTop w:val="0"/>
      <w:marBottom w:val="0"/>
      <w:divBdr>
        <w:top w:val="none" w:sz="0" w:space="0" w:color="auto"/>
        <w:left w:val="none" w:sz="0" w:space="0" w:color="auto"/>
        <w:bottom w:val="none" w:sz="0" w:space="0" w:color="auto"/>
        <w:right w:val="none" w:sz="0" w:space="0" w:color="auto"/>
      </w:divBdr>
    </w:div>
    <w:div w:id="1305508011">
      <w:bodyDiv w:val="1"/>
      <w:marLeft w:val="0"/>
      <w:marRight w:val="0"/>
      <w:marTop w:val="0"/>
      <w:marBottom w:val="0"/>
      <w:divBdr>
        <w:top w:val="none" w:sz="0" w:space="0" w:color="auto"/>
        <w:left w:val="none" w:sz="0" w:space="0" w:color="auto"/>
        <w:bottom w:val="none" w:sz="0" w:space="0" w:color="auto"/>
        <w:right w:val="none" w:sz="0" w:space="0" w:color="auto"/>
      </w:divBdr>
    </w:div>
    <w:div w:id="211728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unmi.adefuye@rec.uk.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collections/tax-avoidance-disguised-remuneration"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c.uk.com/our-view/research/industry-analysis/labour-and-skills-shortages"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sam.beggs@rec.u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E988C-19EA-4C4D-AAC6-7561DAA4E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2869</Words>
  <Characters>15731</Characters>
  <Application>Microsoft Office Word</Application>
  <DocSecurity>4</DocSecurity>
  <Lines>131</Lines>
  <Paragraphs>37</Paragraphs>
  <ScaleCrop>false</ScaleCrop>
  <HeadingPairs>
    <vt:vector size="2" baseType="variant">
      <vt:variant>
        <vt:lpstr>Title</vt:lpstr>
      </vt:variant>
      <vt:variant>
        <vt:i4>1</vt:i4>
      </vt:variant>
    </vt:vector>
  </HeadingPairs>
  <TitlesOfParts>
    <vt:vector size="1" baseType="lpstr">
      <vt:lpstr>Header/Introduction (size 16 font)</vt:lpstr>
    </vt:vector>
  </TitlesOfParts>
  <Company>Recruitment &amp; Employment Confederation Ltd.</Company>
  <LinksUpToDate>false</LinksUpToDate>
  <CharactersWithSpaces>18563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Header/Introduction (size 16 font)</dc:title>
  <dc:creator>Sam Beggs</dc:creator>
  <cp:lastModifiedBy>Samantha Beggs</cp:lastModifiedBy>
  <cp:revision>2</cp:revision>
  <cp:lastPrinted>2020-02-25T19:05:00Z</cp:lastPrinted>
  <dcterms:created xsi:type="dcterms:W3CDTF">2021-11-15T11:07:00Z</dcterms:created>
  <dcterms:modified xsi:type="dcterms:W3CDTF">2021-11-15T11:07:00Z</dcterms:modified>
</cp:coreProperties>
</file>